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7919" w14:textId="09A0D317" w:rsidR="00B301D6" w:rsidRPr="004311FC" w:rsidRDefault="00B301D6" w:rsidP="00B301D6">
      <w:pPr>
        <w:spacing w:after="0"/>
        <w:jc w:val="both"/>
        <w:rPr>
          <w:rFonts w:ascii="Arial" w:hAnsi="Arial" w:cs="Arial"/>
          <w:b/>
        </w:rPr>
      </w:pPr>
      <w:r w:rsidRPr="004311FC">
        <w:rPr>
          <w:rFonts w:ascii="Arial" w:hAnsi="Arial" w:cs="Arial"/>
          <w:b/>
        </w:rPr>
        <w:t xml:space="preserve">El costo del ruido para la </w:t>
      </w:r>
      <w:r w:rsidR="004B1963" w:rsidRPr="004311FC">
        <w:rPr>
          <w:rFonts w:ascii="Arial" w:hAnsi="Arial" w:cs="Arial"/>
          <w:b/>
        </w:rPr>
        <w:t xml:space="preserve">ciudad </w:t>
      </w:r>
      <w:r w:rsidRPr="004311FC">
        <w:rPr>
          <w:rFonts w:ascii="Arial" w:hAnsi="Arial" w:cs="Arial"/>
          <w:b/>
        </w:rPr>
        <w:t>de Antofagasta, 2019.</w:t>
      </w:r>
    </w:p>
    <w:p w14:paraId="7BAD8035" w14:textId="77777777" w:rsidR="00B301D6" w:rsidRPr="004311FC" w:rsidRDefault="00B301D6" w:rsidP="00B301D6">
      <w:pPr>
        <w:spacing w:after="0"/>
        <w:jc w:val="both"/>
        <w:rPr>
          <w:rFonts w:ascii="Arial" w:hAnsi="Arial" w:cs="Arial"/>
        </w:rPr>
      </w:pPr>
    </w:p>
    <w:p w14:paraId="4A1C6013" w14:textId="36A44239" w:rsidR="00B301D6" w:rsidRPr="004311FC" w:rsidRDefault="00B301D6" w:rsidP="00B301D6">
      <w:pPr>
        <w:spacing w:after="0"/>
        <w:jc w:val="both"/>
        <w:rPr>
          <w:rFonts w:ascii="Arial" w:hAnsi="Arial" w:cs="Arial"/>
        </w:rPr>
      </w:pPr>
      <w:r w:rsidRPr="004311FC">
        <w:rPr>
          <w:rFonts w:ascii="Arial" w:hAnsi="Arial" w:cs="Arial"/>
        </w:rPr>
        <w:t>El ruido es un contaminante invisible y muy presente en las ciudades del mundo, sólo como referencia, la OMS estima que 1100 millones de personas en el mundo corren el riesgo de sufrir pérdida auditiva como consecuencia directa de la sobre exposición a niveles sonoros dañinos en lugares de ocio, y eventos deportivos, entre otros. Además del impacto en la salud de las personas, el ruido impacta económicamente en los territorios afectados, disminuyendo la plusvalía de las propiedades e incrementando el costo de mantención de las viviendas. El ruido, en el análisis territorial, emerge como una importante variable, que empieza a ser percibida como una ext</w:t>
      </w:r>
      <w:r w:rsidR="00D93E2B" w:rsidRPr="004311FC">
        <w:rPr>
          <w:rFonts w:ascii="Arial" w:hAnsi="Arial" w:cs="Arial"/>
        </w:rPr>
        <w:t xml:space="preserve">ernalidad negativa que impacta </w:t>
      </w:r>
      <w:r w:rsidRPr="004311FC">
        <w:rPr>
          <w:rFonts w:ascii="Arial" w:hAnsi="Arial" w:cs="Arial"/>
        </w:rPr>
        <w:t>un aspecto relevante del bienestar y calidad de vida de una ciudad.</w:t>
      </w:r>
    </w:p>
    <w:p w14:paraId="3D9E8541" w14:textId="77777777" w:rsidR="00B301D6" w:rsidRPr="004311FC" w:rsidRDefault="00B301D6" w:rsidP="00B301D6">
      <w:pPr>
        <w:spacing w:after="0"/>
        <w:jc w:val="both"/>
        <w:rPr>
          <w:rFonts w:ascii="Arial" w:hAnsi="Arial" w:cs="Arial"/>
        </w:rPr>
      </w:pPr>
    </w:p>
    <w:p w14:paraId="51FC5552" w14:textId="6A084FF9" w:rsidR="007B7B6D" w:rsidRPr="00A500EC" w:rsidRDefault="00B301D6" w:rsidP="007B7B6D">
      <w:pPr>
        <w:autoSpaceDE w:val="0"/>
        <w:autoSpaceDN w:val="0"/>
        <w:adjustRightInd w:val="0"/>
        <w:spacing w:after="0"/>
        <w:jc w:val="both"/>
        <w:rPr>
          <w:rFonts w:ascii="Arial" w:hAnsi="Arial" w:cs="Arial"/>
          <w:bCs/>
        </w:rPr>
      </w:pPr>
      <w:r w:rsidRPr="004311FC">
        <w:rPr>
          <w:rFonts w:ascii="Arial" w:hAnsi="Arial" w:cs="Arial"/>
        </w:rPr>
        <w:t xml:space="preserve">Esta publicación corresponde a un avance preliminar de investigación elaborado por el Instituto de Políticas Públicas de la Universidad Católica del Norte (2019). En él se estima el costo referencial para la protección del ruido en la comuna de Antofagasta para el año 2019. Para ello se ha utilizado el Sistema De Información Territorial, (SIT) Antofagasta, para elaborar la metodología que permitió realizar la estimación. El uso de esta herramienta permitió identificar </w:t>
      </w:r>
      <w:r w:rsidRPr="004311FC">
        <w:rPr>
          <w:rFonts w:ascii="Arial" w:hAnsi="Arial" w:cs="Arial"/>
          <w:bCs/>
        </w:rPr>
        <w:t>las fuentes emisoras de ruido, fijas y móviles, georreferenciar su ubicación en la comuna, y estimar la cantidad de población afectada a través de la generación del radio de acción de 100 metros para cada fuente, rango en el que según la OMS el sonido comienza a sufrir interferencias.</w:t>
      </w:r>
      <w:r w:rsidR="00A500EC">
        <w:rPr>
          <w:rFonts w:ascii="Arial" w:hAnsi="Arial" w:cs="Arial"/>
          <w:bCs/>
        </w:rPr>
        <w:t xml:space="preserve"> Además, a</w:t>
      </w:r>
      <w:r w:rsidR="007B7B6D">
        <w:rPr>
          <w:rFonts w:ascii="Arial" w:hAnsi="Arial" w:cs="Arial"/>
          <w:bCs/>
        </w:rPr>
        <w:t xml:space="preserve"> partir de</w:t>
      </w:r>
      <w:r w:rsidR="00A500EC">
        <w:rPr>
          <w:rFonts w:ascii="Arial" w:hAnsi="Arial" w:cs="Arial"/>
          <w:bCs/>
        </w:rPr>
        <w:t xml:space="preserve"> la publicación </w:t>
      </w:r>
      <w:r w:rsidR="007B7B6D">
        <w:rPr>
          <w:rFonts w:ascii="Arial" w:hAnsi="Arial" w:cs="Arial"/>
          <w:bCs/>
        </w:rPr>
        <w:t>de la OMS “</w:t>
      </w:r>
      <w:proofErr w:type="spellStart"/>
      <w:r w:rsidR="007B7B6D" w:rsidRPr="007B7B6D">
        <w:rPr>
          <w:rFonts w:ascii="Arial" w:hAnsi="Arial" w:cs="Arial"/>
        </w:rPr>
        <w:t>Guidelines</w:t>
      </w:r>
      <w:proofErr w:type="spellEnd"/>
      <w:r w:rsidR="007B7B6D" w:rsidRPr="007B7B6D">
        <w:rPr>
          <w:rFonts w:ascii="Arial" w:hAnsi="Arial" w:cs="Arial"/>
        </w:rPr>
        <w:t xml:space="preserve"> </w:t>
      </w:r>
      <w:proofErr w:type="spellStart"/>
      <w:r w:rsidR="007B7B6D" w:rsidRPr="007B7B6D">
        <w:rPr>
          <w:rFonts w:ascii="Arial" w:hAnsi="Arial" w:cs="Arial"/>
        </w:rPr>
        <w:t>for</w:t>
      </w:r>
      <w:proofErr w:type="spellEnd"/>
      <w:r w:rsidR="007B7B6D" w:rsidRPr="007B7B6D">
        <w:rPr>
          <w:rFonts w:ascii="Arial" w:hAnsi="Arial" w:cs="Arial"/>
        </w:rPr>
        <w:t xml:space="preserve"> </w:t>
      </w:r>
      <w:proofErr w:type="spellStart"/>
      <w:r w:rsidR="007B7B6D" w:rsidRPr="007B7B6D">
        <w:rPr>
          <w:rFonts w:ascii="Arial" w:hAnsi="Arial" w:cs="Arial"/>
        </w:rPr>
        <w:t>Community</w:t>
      </w:r>
      <w:proofErr w:type="spellEnd"/>
      <w:r w:rsidR="007B7B6D" w:rsidRPr="007B7B6D">
        <w:rPr>
          <w:rFonts w:ascii="Arial" w:hAnsi="Arial" w:cs="Arial"/>
        </w:rPr>
        <w:t xml:space="preserve"> </w:t>
      </w:r>
      <w:proofErr w:type="spellStart"/>
      <w:r w:rsidR="007B7B6D" w:rsidRPr="007B7B6D">
        <w:rPr>
          <w:rFonts w:ascii="Arial" w:hAnsi="Arial" w:cs="Arial"/>
        </w:rPr>
        <w:t>Noise</w:t>
      </w:r>
      <w:proofErr w:type="spellEnd"/>
      <w:r w:rsidR="007B7B6D">
        <w:rPr>
          <w:rFonts w:ascii="Arial" w:hAnsi="Arial" w:cs="Arial"/>
        </w:rPr>
        <w:t>”, (1999) se elaboró una tabla de intensidad de sonido promedio estimada para cada tipo de fuente incluida en el estudio (</w:t>
      </w:r>
      <w:r w:rsidR="004434CA">
        <w:rPr>
          <w:rFonts w:ascii="Arial" w:hAnsi="Arial" w:cs="Arial"/>
        </w:rPr>
        <w:t>T</w:t>
      </w:r>
      <w:bookmarkStart w:id="0" w:name="_GoBack"/>
      <w:bookmarkEnd w:id="0"/>
      <w:r w:rsidR="007B7B6D">
        <w:rPr>
          <w:rFonts w:ascii="Arial" w:hAnsi="Arial" w:cs="Arial"/>
        </w:rPr>
        <w:t>abla 1).</w:t>
      </w:r>
    </w:p>
    <w:p w14:paraId="3E1B04B1" w14:textId="77777777" w:rsidR="007B7B6D" w:rsidRDefault="007B7B6D" w:rsidP="00B301D6">
      <w:pPr>
        <w:spacing w:after="0"/>
        <w:jc w:val="both"/>
        <w:rPr>
          <w:rFonts w:ascii="Arial" w:hAnsi="Arial" w:cs="Arial"/>
          <w:bCs/>
        </w:rPr>
      </w:pPr>
    </w:p>
    <w:p w14:paraId="7A76F7FA" w14:textId="77EC44DF" w:rsidR="00A94F0C" w:rsidRDefault="00B301D6" w:rsidP="00B301D6">
      <w:pPr>
        <w:spacing w:after="0"/>
        <w:jc w:val="both"/>
        <w:rPr>
          <w:rFonts w:ascii="Arial" w:hAnsi="Arial" w:cs="Arial"/>
        </w:rPr>
      </w:pPr>
      <w:r w:rsidRPr="004311FC">
        <w:rPr>
          <w:rFonts w:ascii="Arial" w:hAnsi="Arial" w:cs="Arial"/>
          <w:bCs/>
        </w:rPr>
        <w:t>El</w:t>
      </w:r>
      <w:r w:rsidRPr="004311FC">
        <w:rPr>
          <w:rFonts w:ascii="Arial" w:hAnsi="Arial" w:cs="Arial"/>
        </w:rPr>
        <w:t xml:space="preserve"> costo total del ruido para la comuna de Antofagasta se calcula utilizando el valor estimado del costo por habitante para el 2019, calculado mediante el uso de la metodología empleada en la publicación “Cuán Sustentable es la Región de Antofagasta”, (2013) el cual es ponderado por la población afectada, estimada con el uso de la herramienta SIT Antofagasta. </w:t>
      </w:r>
    </w:p>
    <w:p w14:paraId="3E5F2CFF" w14:textId="77777777" w:rsidR="00A94F0C" w:rsidRDefault="00A94F0C" w:rsidP="00B301D6">
      <w:pPr>
        <w:spacing w:after="0"/>
        <w:jc w:val="both"/>
        <w:rPr>
          <w:rFonts w:ascii="Arial" w:hAnsi="Arial" w:cs="Arial"/>
        </w:rPr>
      </w:pPr>
    </w:p>
    <w:p w14:paraId="5351FD2F" w14:textId="0FADA726" w:rsidR="00A500EC" w:rsidRDefault="002D4D19" w:rsidP="00B301D6">
      <w:pPr>
        <w:spacing w:after="0"/>
        <w:jc w:val="both"/>
        <w:rPr>
          <w:rFonts w:ascii="Arial" w:hAnsi="Arial" w:cs="Arial"/>
        </w:rPr>
      </w:pPr>
      <w:proofErr w:type="gramStart"/>
      <w:r>
        <w:rPr>
          <w:rFonts w:ascii="Arial" w:hAnsi="Arial" w:cs="Arial"/>
        </w:rPr>
        <w:t>De acuerdo a</w:t>
      </w:r>
      <w:proofErr w:type="gramEnd"/>
      <w:r>
        <w:rPr>
          <w:rFonts w:ascii="Arial" w:hAnsi="Arial" w:cs="Arial"/>
        </w:rPr>
        <w:t xml:space="preserve"> esta metodología e</w:t>
      </w:r>
      <w:r w:rsidR="004311FC">
        <w:rPr>
          <w:rFonts w:ascii="Arial" w:hAnsi="Arial" w:cs="Arial"/>
        </w:rPr>
        <w:t>l costo unitario</w:t>
      </w:r>
      <w:r w:rsidR="003549D8">
        <w:rPr>
          <w:rFonts w:ascii="Arial" w:hAnsi="Arial" w:cs="Arial"/>
        </w:rPr>
        <w:t xml:space="preserve"> del ruido </w:t>
      </w:r>
      <w:r w:rsidR="004311FC">
        <w:rPr>
          <w:rFonts w:ascii="Arial" w:hAnsi="Arial" w:cs="Arial"/>
        </w:rPr>
        <w:t>por habitante</w:t>
      </w:r>
      <w:r w:rsidR="003549D8">
        <w:rPr>
          <w:rFonts w:ascii="Arial" w:hAnsi="Arial" w:cs="Arial"/>
        </w:rPr>
        <w:t xml:space="preserve"> utilizado </w:t>
      </w:r>
      <w:r w:rsidR="004311FC">
        <w:rPr>
          <w:rFonts w:ascii="Arial" w:hAnsi="Arial" w:cs="Arial"/>
        </w:rPr>
        <w:t xml:space="preserve">para la </w:t>
      </w:r>
      <w:r w:rsidR="003549D8">
        <w:rPr>
          <w:rFonts w:ascii="Arial" w:hAnsi="Arial" w:cs="Arial"/>
        </w:rPr>
        <w:t>comuna</w:t>
      </w:r>
      <w:r w:rsidR="004311FC">
        <w:rPr>
          <w:rFonts w:ascii="Arial" w:hAnsi="Arial" w:cs="Arial"/>
        </w:rPr>
        <w:t xml:space="preserve"> de</w:t>
      </w:r>
      <w:r w:rsidR="003549D8">
        <w:rPr>
          <w:rFonts w:ascii="Arial" w:hAnsi="Arial" w:cs="Arial"/>
        </w:rPr>
        <w:t xml:space="preserve"> Antofagasta</w:t>
      </w:r>
      <w:r w:rsidR="00A94F0C">
        <w:rPr>
          <w:rFonts w:ascii="Arial" w:hAnsi="Arial" w:cs="Arial"/>
        </w:rPr>
        <w:t xml:space="preserve"> se obtuvo al utilizar la </w:t>
      </w:r>
      <w:r w:rsidR="00A94F0C" w:rsidRPr="004311FC">
        <w:rPr>
          <w:rFonts w:ascii="Arial" w:hAnsi="Arial" w:cs="Arial"/>
        </w:rPr>
        <w:t>disposición a pagar (DAP)</w:t>
      </w:r>
      <w:r w:rsidR="00A94F0C">
        <w:rPr>
          <w:rFonts w:ascii="Arial" w:hAnsi="Arial" w:cs="Arial"/>
        </w:rPr>
        <w:t xml:space="preserve">, </w:t>
      </w:r>
      <w:r w:rsidR="00A94F0C" w:rsidRPr="004311FC">
        <w:rPr>
          <w:rFonts w:ascii="Arial" w:hAnsi="Arial" w:cs="Arial"/>
        </w:rPr>
        <w:t>utilizada por Galilea y Ortúzar en la publicación “</w:t>
      </w:r>
      <w:proofErr w:type="spellStart"/>
      <w:r w:rsidR="00A94F0C" w:rsidRPr="004311FC">
        <w:rPr>
          <w:rFonts w:ascii="Arial" w:hAnsi="Arial" w:cs="Arial"/>
        </w:rPr>
        <w:t>Valuing</w:t>
      </w:r>
      <w:proofErr w:type="spellEnd"/>
      <w:r w:rsidR="00A94F0C" w:rsidRPr="004311FC">
        <w:rPr>
          <w:rFonts w:ascii="Arial" w:hAnsi="Arial" w:cs="Arial"/>
        </w:rPr>
        <w:t xml:space="preserve"> </w:t>
      </w:r>
      <w:proofErr w:type="spellStart"/>
      <w:r w:rsidR="00A94F0C" w:rsidRPr="004311FC">
        <w:rPr>
          <w:rFonts w:ascii="Arial" w:hAnsi="Arial" w:cs="Arial"/>
        </w:rPr>
        <w:t>noise</w:t>
      </w:r>
      <w:proofErr w:type="spellEnd"/>
      <w:r w:rsidR="00A94F0C" w:rsidRPr="004311FC">
        <w:rPr>
          <w:rFonts w:ascii="Arial" w:hAnsi="Arial" w:cs="Arial"/>
        </w:rPr>
        <w:t xml:space="preserve"> </w:t>
      </w:r>
      <w:proofErr w:type="spellStart"/>
      <w:r w:rsidR="00A94F0C" w:rsidRPr="004311FC">
        <w:rPr>
          <w:rFonts w:ascii="Arial" w:hAnsi="Arial" w:cs="Arial"/>
        </w:rPr>
        <w:t>level</w:t>
      </w:r>
      <w:proofErr w:type="spellEnd"/>
      <w:r w:rsidR="00A94F0C" w:rsidRPr="004311FC">
        <w:rPr>
          <w:rFonts w:ascii="Arial" w:hAnsi="Arial" w:cs="Arial"/>
        </w:rPr>
        <w:t xml:space="preserve"> </w:t>
      </w:r>
      <w:proofErr w:type="spellStart"/>
      <w:r w:rsidR="00A94F0C" w:rsidRPr="004311FC">
        <w:rPr>
          <w:rFonts w:ascii="Arial" w:hAnsi="Arial" w:cs="Arial"/>
        </w:rPr>
        <w:t>reductions</w:t>
      </w:r>
      <w:proofErr w:type="spellEnd"/>
      <w:r w:rsidR="00A94F0C" w:rsidRPr="004311FC">
        <w:rPr>
          <w:rFonts w:ascii="Arial" w:hAnsi="Arial" w:cs="Arial"/>
        </w:rPr>
        <w:t xml:space="preserve"> in a </w:t>
      </w:r>
      <w:proofErr w:type="spellStart"/>
      <w:r w:rsidR="00A94F0C" w:rsidRPr="004311FC">
        <w:rPr>
          <w:rFonts w:ascii="Arial" w:hAnsi="Arial" w:cs="Arial"/>
        </w:rPr>
        <w:t>residential</w:t>
      </w:r>
      <w:proofErr w:type="spellEnd"/>
      <w:r w:rsidR="00A94F0C" w:rsidRPr="004311FC">
        <w:rPr>
          <w:rFonts w:ascii="Arial" w:hAnsi="Arial" w:cs="Arial"/>
        </w:rPr>
        <w:t xml:space="preserve"> </w:t>
      </w:r>
      <w:proofErr w:type="spellStart"/>
      <w:r w:rsidR="00A94F0C" w:rsidRPr="004311FC">
        <w:rPr>
          <w:rFonts w:ascii="Arial" w:hAnsi="Arial" w:cs="Arial"/>
        </w:rPr>
        <w:t>location</w:t>
      </w:r>
      <w:proofErr w:type="spellEnd"/>
      <w:r w:rsidR="00A94F0C" w:rsidRPr="004311FC">
        <w:rPr>
          <w:rFonts w:ascii="Arial" w:hAnsi="Arial" w:cs="Arial"/>
        </w:rPr>
        <w:t xml:space="preserve"> </w:t>
      </w:r>
      <w:proofErr w:type="spellStart"/>
      <w:r w:rsidR="00A94F0C" w:rsidRPr="004311FC">
        <w:rPr>
          <w:rFonts w:ascii="Arial" w:hAnsi="Arial" w:cs="Arial"/>
        </w:rPr>
        <w:t>context</w:t>
      </w:r>
      <w:proofErr w:type="spellEnd"/>
      <w:r w:rsidR="00A94F0C" w:rsidRPr="004311FC">
        <w:rPr>
          <w:rFonts w:ascii="Arial" w:hAnsi="Arial" w:cs="Arial"/>
        </w:rPr>
        <w:t>”, (2005)</w:t>
      </w:r>
      <w:r w:rsidR="003549D8">
        <w:rPr>
          <w:rFonts w:ascii="Arial" w:hAnsi="Arial" w:cs="Arial"/>
        </w:rPr>
        <w:t xml:space="preserve"> </w:t>
      </w:r>
      <w:r w:rsidR="00A94F0C">
        <w:rPr>
          <w:rFonts w:ascii="Arial" w:hAnsi="Arial" w:cs="Arial"/>
        </w:rPr>
        <w:t xml:space="preserve">el cual corresponde a US$ </w:t>
      </w:r>
      <w:r w:rsidR="003549D8" w:rsidRPr="004311FC">
        <w:rPr>
          <w:rFonts w:ascii="Arial" w:hAnsi="Arial" w:cs="Arial"/>
        </w:rPr>
        <w:t xml:space="preserve">23,54 </w:t>
      </w:r>
      <w:r w:rsidR="00A94F0C">
        <w:rPr>
          <w:rFonts w:ascii="Arial" w:hAnsi="Arial" w:cs="Arial"/>
        </w:rPr>
        <w:t>que</w:t>
      </w:r>
      <w:r w:rsidR="00A500EC">
        <w:rPr>
          <w:rFonts w:ascii="Arial" w:hAnsi="Arial" w:cs="Arial"/>
        </w:rPr>
        <w:t xml:space="preserve"> de acuerdo con el tipo de cambio</w:t>
      </w:r>
      <w:r w:rsidR="003549D8" w:rsidRPr="004311FC">
        <w:rPr>
          <w:rFonts w:ascii="Arial" w:hAnsi="Arial" w:cs="Arial"/>
        </w:rPr>
        <w:t xml:space="preserve"> de junio de 2019 asciende a </w:t>
      </w:r>
      <w:r w:rsidR="00A94F0C">
        <w:rPr>
          <w:rFonts w:ascii="Arial" w:hAnsi="Arial" w:cs="Arial"/>
        </w:rPr>
        <w:t xml:space="preserve">$ </w:t>
      </w:r>
      <w:r w:rsidR="003549D8" w:rsidRPr="004311FC">
        <w:rPr>
          <w:rFonts w:ascii="Arial" w:hAnsi="Arial" w:cs="Arial"/>
        </w:rPr>
        <w:t>16.062 por habitante</w:t>
      </w:r>
      <w:r w:rsidR="00A94F0C">
        <w:rPr>
          <w:rFonts w:ascii="Arial" w:hAnsi="Arial" w:cs="Arial"/>
        </w:rPr>
        <w:t>.</w:t>
      </w:r>
    </w:p>
    <w:p w14:paraId="1BACBA2C" w14:textId="77777777" w:rsidR="002D4D19" w:rsidRDefault="002D4D19" w:rsidP="00B301D6">
      <w:pPr>
        <w:spacing w:after="0"/>
        <w:jc w:val="both"/>
        <w:rPr>
          <w:rFonts w:ascii="Arial" w:hAnsi="Arial" w:cs="Arial"/>
        </w:rPr>
      </w:pPr>
    </w:p>
    <w:p w14:paraId="5DBEA9D9" w14:textId="0634339D" w:rsidR="00A500EC" w:rsidRDefault="00A500EC" w:rsidP="00B301D6">
      <w:pPr>
        <w:spacing w:after="0"/>
        <w:jc w:val="both"/>
        <w:rPr>
          <w:rFonts w:ascii="Arial" w:hAnsi="Arial" w:cs="Arial"/>
        </w:rPr>
      </w:pPr>
      <w:r w:rsidRPr="00A500EC">
        <w:rPr>
          <w:rFonts w:ascii="Arial" w:hAnsi="Arial" w:cs="Arial"/>
        </w:rPr>
        <w:t>La DAP calculada por Galilea y Ortúzar (2005), se estimó a través de datos obtenidos de encuestas para una zona residencial de Santiago</w:t>
      </w:r>
      <w:r>
        <w:rPr>
          <w:rFonts w:ascii="Arial" w:hAnsi="Arial" w:cs="Arial"/>
        </w:rPr>
        <w:t xml:space="preserve"> donde se consideraron</w:t>
      </w:r>
      <w:r w:rsidRPr="00A500EC">
        <w:rPr>
          <w:rFonts w:ascii="Arial" w:hAnsi="Arial" w:cs="Arial"/>
        </w:rPr>
        <w:t xml:space="preserve"> </w:t>
      </w:r>
      <w:r>
        <w:rPr>
          <w:rFonts w:ascii="Arial" w:hAnsi="Arial" w:cs="Arial"/>
        </w:rPr>
        <w:t>4 variables</w:t>
      </w:r>
      <w:r w:rsidRPr="00A500EC">
        <w:rPr>
          <w:rFonts w:ascii="Arial" w:hAnsi="Arial" w:cs="Arial"/>
        </w:rPr>
        <w:t>: el tiempo de viaje al trabajo, el costo del alquiler mensual de la casa, la orientación solar de la vivienda y los niveles de ruido dentro y fuera de ella</w:t>
      </w:r>
      <w:r>
        <w:rPr>
          <w:rFonts w:ascii="Arial" w:hAnsi="Arial" w:cs="Arial"/>
        </w:rPr>
        <w:t>.</w:t>
      </w:r>
    </w:p>
    <w:p w14:paraId="2F743C76" w14:textId="77777777" w:rsidR="00A500EC" w:rsidRDefault="00A500EC" w:rsidP="00B301D6">
      <w:pPr>
        <w:spacing w:after="0"/>
        <w:jc w:val="both"/>
        <w:rPr>
          <w:rFonts w:ascii="Arial" w:hAnsi="Arial" w:cs="Arial"/>
        </w:rPr>
      </w:pPr>
    </w:p>
    <w:p w14:paraId="056AEBFA" w14:textId="7686E10A" w:rsidR="00B301D6" w:rsidRPr="004311FC" w:rsidRDefault="00A94F0C" w:rsidP="00B301D6">
      <w:pPr>
        <w:spacing w:after="0"/>
        <w:jc w:val="both"/>
        <w:rPr>
          <w:rFonts w:ascii="Arial" w:hAnsi="Arial" w:cs="Arial"/>
        </w:rPr>
      </w:pPr>
      <w:r>
        <w:rPr>
          <w:rFonts w:ascii="Arial" w:hAnsi="Arial" w:cs="Arial"/>
        </w:rPr>
        <w:t>De este modo e</w:t>
      </w:r>
      <w:r w:rsidR="00B301D6" w:rsidRPr="004311FC">
        <w:rPr>
          <w:rFonts w:ascii="Arial" w:hAnsi="Arial" w:cs="Arial"/>
        </w:rPr>
        <w:t xml:space="preserve">l costo para la protección del ruido para la comuna de Antofagasta en el 2019 se estimó en 2.267 MM$, siendo la población afectada estimada en 141.116 personas, que habitan en un total de 46.970 viviendas. </w:t>
      </w:r>
    </w:p>
    <w:p w14:paraId="1FB931D2" w14:textId="77777777" w:rsidR="00A94F0C" w:rsidRDefault="00A94F0C" w:rsidP="00B301D6">
      <w:pPr>
        <w:spacing w:after="0"/>
        <w:jc w:val="both"/>
        <w:rPr>
          <w:rFonts w:ascii="Arial" w:hAnsi="Arial" w:cs="Arial"/>
        </w:rPr>
      </w:pPr>
    </w:p>
    <w:p w14:paraId="75DC24CF" w14:textId="445995A5" w:rsidR="00B301D6" w:rsidRDefault="00B301D6" w:rsidP="00B301D6">
      <w:pPr>
        <w:spacing w:after="0"/>
        <w:jc w:val="both"/>
        <w:rPr>
          <w:rFonts w:ascii="Arial" w:hAnsi="Arial" w:cs="Arial"/>
        </w:rPr>
      </w:pPr>
      <w:r w:rsidRPr="004311FC">
        <w:rPr>
          <w:rFonts w:ascii="Arial" w:hAnsi="Arial" w:cs="Arial"/>
          <w:bCs/>
        </w:rPr>
        <w:t>Las</w:t>
      </w:r>
      <w:r w:rsidRPr="004311FC">
        <w:rPr>
          <w:rFonts w:ascii="Arial" w:hAnsi="Arial" w:cs="Arial"/>
        </w:rPr>
        <w:t xml:space="preserve"> fuentes fijas identificadas corresponden a locales de esparcimiento nocturno, talleres mecánicos y zonas industriales. Además, se identificaron dos fuentes móviles que corresponden a las vías principales y líneas férreas. No fueron consideradas las obras en construcción debido a la dificultad de conseguir la ubicación de todas las faenas y el tiempo indeterminado que éstas permanecen activas (Cartografía 1).  Para la comuna de Antofagasta, fue posible identificar cuatro sectores definidos por la mayor concentración de fuentes emisoras, que consideran sólo la población directamente afectada. A partir de esta información se estiman por sector, la cantidad de fuentes móviles y fijas, el costo por sector, la cantidad de viviendas para el 2017 y sus habitantes para el 2019 a partir de la proyección del INE en base al censo 2017 (Tabla </w:t>
      </w:r>
      <w:r w:rsidR="007B7B6D">
        <w:rPr>
          <w:rFonts w:ascii="Arial" w:hAnsi="Arial" w:cs="Arial"/>
        </w:rPr>
        <w:t>2</w:t>
      </w:r>
      <w:r w:rsidRPr="004311FC">
        <w:rPr>
          <w:rFonts w:ascii="Arial" w:hAnsi="Arial" w:cs="Arial"/>
        </w:rPr>
        <w:t xml:space="preserve">). </w:t>
      </w:r>
    </w:p>
    <w:p w14:paraId="2203615F" w14:textId="76BB35C0" w:rsidR="007B7B6D" w:rsidRDefault="007B7B6D" w:rsidP="00B301D6">
      <w:pPr>
        <w:spacing w:after="0"/>
        <w:jc w:val="both"/>
        <w:rPr>
          <w:rFonts w:ascii="Arial" w:hAnsi="Arial" w:cs="Arial"/>
        </w:rPr>
      </w:pPr>
    </w:p>
    <w:p w14:paraId="702A4BD1" w14:textId="6D4BB273" w:rsidR="00B301D6" w:rsidRPr="004311FC" w:rsidRDefault="00B301D6" w:rsidP="00B301D6">
      <w:pPr>
        <w:spacing w:after="0"/>
        <w:jc w:val="both"/>
        <w:rPr>
          <w:rFonts w:ascii="Arial" w:hAnsi="Arial" w:cs="Arial"/>
        </w:rPr>
      </w:pPr>
      <w:r w:rsidRPr="004311FC">
        <w:rPr>
          <w:rFonts w:ascii="Arial" w:hAnsi="Arial" w:cs="Arial"/>
        </w:rPr>
        <w:t xml:space="preserve">En el análisis por sectores el sector centro destaca, ya que se infiere que no constituye en sí mismo un área residencial, porque, a pesar de presentar una gran acumulación de lugares de entretención nocturna, el costo </w:t>
      </w:r>
      <w:r w:rsidRPr="004311FC">
        <w:rPr>
          <w:rFonts w:ascii="Arial" w:hAnsi="Arial" w:cs="Arial"/>
        </w:rPr>
        <w:lastRenderedPageBreak/>
        <w:t xml:space="preserve">estimado es bajo en relación con los extremos de la comuna, debido a que esta delimitación excluye a la población que reside sobre la línea de la calle Andrés Sabella.  Siguiendo con este criterio de análisis se puede concluir que, en ambos extremos de la comuna de Antofagasta, identificados como sectores residenciales, se observa una considerable presencia de fuentes emisoras de ruido, siendo característico del sector sur la presencia de establecimientos de diversión nocturna y del sector norte la presencia de talleres e industrias. </w:t>
      </w:r>
    </w:p>
    <w:p w14:paraId="2CA61E65" w14:textId="77777777" w:rsidR="00A94F0C" w:rsidRDefault="00B301D6" w:rsidP="00B301D6">
      <w:pPr>
        <w:spacing w:after="0"/>
        <w:jc w:val="both"/>
        <w:rPr>
          <w:rFonts w:ascii="Arial" w:hAnsi="Arial" w:cs="Arial"/>
        </w:rPr>
      </w:pPr>
      <w:r w:rsidRPr="004311FC">
        <w:rPr>
          <w:rFonts w:ascii="Arial" w:hAnsi="Arial" w:cs="Arial"/>
        </w:rPr>
        <w:t>El mayor costo en que debe incurrir los habitantes de la zona Norte para protección del ruido de la comuna, se relaciona directamente con la mayor cantidad de población afectada, no obstante, se concluye que el sector sur pudiera ser más riesgoso para vivir, por comprometer de mayor manera la salud de la población debido a que las fuentes emisoras operan mayormente en horario nocturno, horario en que según la OMS presenta los mayores riesgos de generar alteraciones al sueño, a la concentración y al bienestar de las personas.</w:t>
      </w:r>
      <w:r w:rsidR="00A94F0C">
        <w:rPr>
          <w:rFonts w:ascii="Arial" w:hAnsi="Arial" w:cs="Arial"/>
        </w:rPr>
        <w:t xml:space="preserve"> </w:t>
      </w:r>
    </w:p>
    <w:p w14:paraId="2C75F90D" w14:textId="77777777" w:rsidR="00A94F0C" w:rsidRDefault="00A94F0C" w:rsidP="00B301D6">
      <w:pPr>
        <w:spacing w:after="0"/>
        <w:jc w:val="both"/>
        <w:rPr>
          <w:rFonts w:ascii="Arial" w:hAnsi="Arial" w:cs="Arial"/>
        </w:rPr>
      </w:pPr>
    </w:p>
    <w:p w14:paraId="42F8B107" w14:textId="29AB9955" w:rsidR="00B301D6" w:rsidRDefault="00B301D6" w:rsidP="00B301D6">
      <w:pPr>
        <w:spacing w:after="0"/>
        <w:jc w:val="both"/>
        <w:rPr>
          <w:rFonts w:ascii="Arial" w:hAnsi="Arial" w:cs="Arial"/>
        </w:rPr>
      </w:pPr>
      <w:r w:rsidRPr="004311FC">
        <w:rPr>
          <w:rFonts w:ascii="Arial" w:hAnsi="Arial" w:cs="Arial"/>
        </w:rPr>
        <w:t>Esta metodología estima de manera específica y con mayor grado de precisión las externalidades negativas que genera el contaminante ruido en la comuna al comparar con otras herramientas de análisis, como el mapa del ruido de la comuna de Antofagasta encargado por el M.M.A. del año 2011. En aquel estudio se presenta la proyección de los decibeles estimados en el receptor considerando sólo el tránsito vehicular, en esta estimación en cambio, se considera la incorporación de información actualizada considerando todos los tipos de fuentes emisoras de ruido, tanto de fuentes fijas y fuentes móviles más relevantes para el análisis, además permite la sectorización de la comuna y la incorporación de la dimensión económica lo cual entrega antecedentes importantes a la hora de generar e implementar políticas públicas y medidas específicas, el mismo deberá ser complementado en futuros estudios y publicaciones del tema.</w:t>
      </w:r>
    </w:p>
    <w:p w14:paraId="3726275F" w14:textId="13F20F29" w:rsidR="007B7B6D" w:rsidRDefault="007B7B6D" w:rsidP="00B301D6">
      <w:pPr>
        <w:spacing w:after="0"/>
        <w:jc w:val="both"/>
        <w:rPr>
          <w:rFonts w:ascii="Arial" w:hAnsi="Arial" w:cs="Arial"/>
        </w:rPr>
      </w:pPr>
    </w:p>
    <w:p w14:paraId="483C4DC5" w14:textId="77777777" w:rsidR="002D4D19" w:rsidRDefault="002D4D19" w:rsidP="00B301D6">
      <w:pPr>
        <w:spacing w:after="0"/>
        <w:jc w:val="both"/>
        <w:rPr>
          <w:rFonts w:ascii="Arial" w:hAnsi="Arial" w:cs="Arial"/>
        </w:rPr>
      </w:pPr>
    </w:p>
    <w:p w14:paraId="0B67BAB0" w14:textId="2571AA6F" w:rsidR="007B7B6D" w:rsidRPr="007B7B6D" w:rsidRDefault="007B7B6D" w:rsidP="00B301D6">
      <w:pPr>
        <w:spacing w:after="0"/>
        <w:jc w:val="both"/>
        <w:rPr>
          <w:rFonts w:ascii="Arial" w:hAnsi="Arial" w:cs="Arial"/>
          <w:sz w:val="20"/>
          <w:szCs w:val="20"/>
        </w:rPr>
      </w:pPr>
    </w:p>
    <w:p w14:paraId="796D0BB1" w14:textId="610582C3" w:rsidR="007B7B6D" w:rsidRPr="007B7B6D" w:rsidRDefault="007B7B6D" w:rsidP="007B7B6D">
      <w:pPr>
        <w:jc w:val="both"/>
        <w:rPr>
          <w:rFonts w:ascii="Arial" w:hAnsi="Arial" w:cs="Arial"/>
          <w:color w:val="222222"/>
          <w:shd w:val="clear" w:color="auto" w:fill="FFFFFF"/>
        </w:rPr>
      </w:pPr>
      <w:r w:rsidRPr="007B7B6D">
        <w:rPr>
          <w:rFonts w:ascii="Arial" w:hAnsi="Arial" w:cs="Arial"/>
          <w:b/>
          <w:bCs/>
          <w:color w:val="222222"/>
          <w:shd w:val="clear" w:color="auto" w:fill="FFFFFF"/>
        </w:rPr>
        <w:t>Tabla 1</w:t>
      </w:r>
      <w:r w:rsidRPr="007B7B6D">
        <w:rPr>
          <w:rFonts w:ascii="Arial" w:hAnsi="Arial" w:cs="Arial"/>
          <w:color w:val="222222"/>
          <w:shd w:val="clear" w:color="auto" w:fill="FFFFFF"/>
        </w:rPr>
        <w:t>: Tipos de fuentes emisoras de ruido en la Comuna de Antofagasta y su intensidad de sonido.</w:t>
      </w:r>
    </w:p>
    <w:p w14:paraId="67667099" w14:textId="77777777" w:rsidR="007B7B6D" w:rsidRPr="007B7B6D" w:rsidRDefault="007B7B6D" w:rsidP="007B7B6D">
      <w:pPr>
        <w:jc w:val="both"/>
        <w:rPr>
          <w:rFonts w:ascii="Arial" w:hAnsi="Arial" w:cs="Arial"/>
          <w:color w:val="222222"/>
          <w:shd w:val="clear" w:color="auto" w:fill="FFFFFF"/>
        </w:rPr>
      </w:pPr>
    </w:p>
    <w:tbl>
      <w:tblPr>
        <w:tblStyle w:val="Tablanormal21"/>
        <w:tblW w:w="0" w:type="auto"/>
        <w:jc w:val="center"/>
        <w:tblLook w:val="04A0" w:firstRow="1" w:lastRow="0" w:firstColumn="1" w:lastColumn="0" w:noHBand="0" w:noVBand="1"/>
      </w:tblPr>
      <w:tblGrid>
        <w:gridCol w:w="4429"/>
        <w:gridCol w:w="4429"/>
      </w:tblGrid>
      <w:tr w:rsidR="007B7B6D" w:rsidRPr="007B7B6D" w14:paraId="70A2368C" w14:textId="77777777" w:rsidTr="002D4D19">
        <w:trPr>
          <w:cnfStyle w:val="100000000000" w:firstRow="1" w:lastRow="0" w:firstColumn="0" w:lastColumn="0" w:oddVBand="0" w:evenVBand="0" w:oddHBand="0"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4429" w:type="dxa"/>
            <w:vAlign w:val="center"/>
          </w:tcPr>
          <w:p w14:paraId="5FFA7B9E" w14:textId="77777777" w:rsidR="007B7B6D" w:rsidRPr="007B7B6D" w:rsidRDefault="007B7B6D" w:rsidP="007B7B6D">
            <w:pPr>
              <w:tabs>
                <w:tab w:val="left" w:pos="3270"/>
              </w:tabs>
              <w:spacing w:after="0"/>
              <w:jc w:val="center"/>
              <w:rPr>
                <w:rFonts w:ascii="Arial" w:hAnsi="Arial" w:cs="Arial"/>
                <w:color w:val="222222"/>
                <w:shd w:val="clear" w:color="auto" w:fill="FFFFFF"/>
              </w:rPr>
            </w:pPr>
            <w:r w:rsidRPr="007B7B6D">
              <w:rPr>
                <w:rFonts w:ascii="Arial" w:hAnsi="Arial" w:cs="Arial"/>
                <w:color w:val="222222"/>
                <w:shd w:val="clear" w:color="auto" w:fill="FFFFFF"/>
              </w:rPr>
              <w:t>Tipos de Fuentes</w:t>
            </w:r>
          </w:p>
        </w:tc>
        <w:tc>
          <w:tcPr>
            <w:tcW w:w="4429" w:type="dxa"/>
            <w:vAlign w:val="center"/>
          </w:tcPr>
          <w:p w14:paraId="276534AA" w14:textId="77777777" w:rsidR="007B7B6D" w:rsidRPr="007B7B6D" w:rsidRDefault="007B7B6D" w:rsidP="007B7B6D">
            <w:pPr>
              <w:tabs>
                <w:tab w:val="left" w:pos="1560"/>
              </w:tabs>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222222"/>
                <w:shd w:val="clear" w:color="auto" w:fill="FFFFFF"/>
              </w:rPr>
            </w:pPr>
            <w:r w:rsidRPr="007B7B6D">
              <w:rPr>
                <w:rFonts w:ascii="Arial" w:hAnsi="Arial" w:cs="Arial"/>
                <w:color w:val="222222"/>
                <w:shd w:val="clear" w:color="auto" w:fill="FFFFFF"/>
              </w:rPr>
              <w:t>Intensidad de Sonido (dB)</w:t>
            </w:r>
          </w:p>
        </w:tc>
      </w:tr>
      <w:tr w:rsidR="007B7B6D" w:rsidRPr="007B7B6D" w14:paraId="15B676C1" w14:textId="77777777" w:rsidTr="002D4D19">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4429" w:type="dxa"/>
            <w:vAlign w:val="bottom"/>
          </w:tcPr>
          <w:p w14:paraId="1A137C11" w14:textId="77777777" w:rsidR="007B7B6D" w:rsidRPr="007B7B6D" w:rsidRDefault="007B7B6D" w:rsidP="007B7B6D">
            <w:pPr>
              <w:spacing w:after="0"/>
              <w:jc w:val="center"/>
              <w:rPr>
                <w:rFonts w:ascii="Arial" w:hAnsi="Arial" w:cs="Arial"/>
                <w:color w:val="222222"/>
                <w:shd w:val="clear" w:color="auto" w:fill="FFFFFF"/>
              </w:rPr>
            </w:pPr>
            <w:r w:rsidRPr="007B7B6D">
              <w:rPr>
                <w:rFonts w:ascii="Arial" w:hAnsi="Arial" w:cs="Arial"/>
                <w:color w:val="222222"/>
                <w:shd w:val="clear" w:color="auto" w:fill="FFFFFF"/>
              </w:rPr>
              <w:t>Industrias y Maestranzas</w:t>
            </w:r>
          </w:p>
        </w:tc>
        <w:tc>
          <w:tcPr>
            <w:tcW w:w="4429" w:type="dxa"/>
            <w:vAlign w:val="bottom"/>
          </w:tcPr>
          <w:p w14:paraId="788B5E88" w14:textId="77777777" w:rsidR="007B7B6D" w:rsidRPr="007B7B6D" w:rsidRDefault="007B7B6D" w:rsidP="007B7B6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hd w:val="clear" w:color="auto" w:fill="FFFFFF"/>
              </w:rPr>
            </w:pPr>
            <w:r w:rsidRPr="007B7B6D">
              <w:rPr>
                <w:rFonts w:ascii="Arial" w:hAnsi="Arial" w:cs="Arial"/>
                <w:color w:val="222222"/>
                <w:shd w:val="clear" w:color="auto" w:fill="FFFFFF"/>
              </w:rPr>
              <w:t>70</w:t>
            </w:r>
          </w:p>
        </w:tc>
      </w:tr>
      <w:tr w:rsidR="007B7B6D" w:rsidRPr="007B7B6D" w14:paraId="68BE17CE" w14:textId="77777777" w:rsidTr="002D4D19">
        <w:trPr>
          <w:trHeight w:val="393"/>
          <w:jc w:val="center"/>
        </w:trPr>
        <w:tc>
          <w:tcPr>
            <w:cnfStyle w:val="001000000000" w:firstRow="0" w:lastRow="0" w:firstColumn="1" w:lastColumn="0" w:oddVBand="0" w:evenVBand="0" w:oddHBand="0" w:evenHBand="0" w:firstRowFirstColumn="0" w:firstRowLastColumn="0" w:lastRowFirstColumn="0" w:lastRowLastColumn="0"/>
            <w:tcW w:w="4429" w:type="dxa"/>
            <w:vAlign w:val="bottom"/>
          </w:tcPr>
          <w:p w14:paraId="13F67A98" w14:textId="77777777" w:rsidR="007B7B6D" w:rsidRPr="007B7B6D" w:rsidRDefault="007B7B6D" w:rsidP="007B7B6D">
            <w:pPr>
              <w:spacing w:after="0"/>
              <w:jc w:val="center"/>
              <w:rPr>
                <w:rFonts w:ascii="Arial" w:hAnsi="Arial" w:cs="Arial"/>
                <w:color w:val="222222"/>
                <w:shd w:val="clear" w:color="auto" w:fill="FFFFFF"/>
              </w:rPr>
            </w:pPr>
            <w:r w:rsidRPr="007B7B6D">
              <w:rPr>
                <w:rFonts w:ascii="Arial" w:hAnsi="Arial" w:cs="Arial"/>
                <w:color w:val="222222"/>
                <w:shd w:val="clear" w:color="auto" w:fill="FFFFFF"/>
              </w:rPr>
              <w:t>Pub y Bares</w:t>
            </w:r>
          </w:p>
        </w:tc>
        <w:tc>
          <w:tcPr>
            <w:tcW w:w="4429" w:type="dxa"/>
            <w:vAlign w:val="bottom"/>
          </w:tcPr>
          <w:p w14:paraId="71C9E0B3" w14:textId="77777777" w:rsidR="007B7B6D" w:rsidRPr="007B7B6D" w:rsidRDefault="007B7B6D" w:rsidP="007B7B6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hd w:val="clear" w:color="auto" w:fill="FFFFFF"/>
              </w:rPr>
            </w:pPr>
            <w:r w:rsidRPr="007B7B6D">
              <w:rPr>
                <w:rFonts w:ascii="Arial" w:hAnsi="Arial" w:cs="Arial"/>
                <w:color w:val="222222"/>
                <w:shd w:val="clear" w:color="auto" w:fill="FFFFFF"/>
              </w:rPr>
              <w:t>85</w:t>
            </w:r>
          </w:p>
        </w:tc>
      </w:tr>
      <w:tr w:rsidR="007B7B6D" w:rsidRPr="007B7B6D" w14:paraId="2EB7136F" w14:textId="77777777" w:rsidTr="002D4D19">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4429" w:type="dxa"/>
            <w:vAlign w:val="bottom"/>
          </w:tcPr>
          <w:p w14:paraId="5FA41F83" w14:textId="77777777" w:rsidR="007B7B6D" w:rsidRPr="007B7B6D" w:rsidRDefault="007B7B6D" w:rsidP="007B7B6D">
            <w:pPr>
              <w:spacing w:after="0"/>
              <w:jc w:val="center"/>
              <w:rPr>
                <w:rFonts w:ascii="Arial" w:hAnsi="Arial" w:cs="Arial"/>
                <w:color w:val="222222"/>
                <w:shd w:val="clear" w:color="auto" w:fill="FFFFFF"/>
              </w:rPr>
            </w:pPr>
            <w:proofErr w:type="spellStart"/>
            <w:r w:rsidRPr="007B7B6D">
              <w:rPr>
                <w:rFonts w:ascii="Arial" w:hAnsi="Arial" w:cs="Arial"/>
                <w:color w:val="222222"/>
                <w:shd w:val="clear" w:color="auto" w:fill="FFFFFF"/>
              </w:rPr>
              <w:t>Discotheque</w:t>
            </w:r>
            <w:proofErr w:type="spellEnd"/>
          </w:p>
        </w:tc>
        <w:tc>
          <w:tcPr>
            <w:tcW w:w="4429" w:type="dxa"/>
            <w:vAlign w:val="bottom"/>
          </w:tcPr>
          <w:p w14:paraId="3659D116" w14:textId="77777777" w:rsidR="007B7B6D" w:rsidRPr="007B7B6D" w:rsidRDefault="007B7B6D" w:rsidP="007B7B6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22222"/>
                <w:shd w:val="clear" w:color="auto" w:fill="FFFFFF"/>
              </w:rPr>
            </w:pPr>
            <w:r w:rsidRPr="007B7B6D">
              <w:rPr>
                <w:rFonts w:ascii="Arial" w:hAnsi="Arial" w:cs="Arial"/>
                <w:color w:val="222222"/>
                <w:shd w:val="clear" w:color="auto" w:fill="FFFFFF"/>
              </w:rPr>
              <w:t>85</w:t>
            </w:r>
          </w:p>
        </w:tc>
      </w:tr>
      <w:tr w:rsidR="007B7B6D" w:rsidRPr="007B7B6D" w14:paraId="62688361" w14:textId="77777777" w:rsidTr="002D4D19">
        <w:trPr>
          <w:trHeight w:val="393"/>
          <w:jc w:val="center"/>
        </w:trPr>
        <w:tc>
          <w:tcPr>
            <w:cnfStyle w:val="001000000000" w:firstRow="0" w:lastRow="0" w:firstColumn="1" w:lastColumn="0" w:oddVBand="0" w:evenVBand="0" w:oddHBand="0" w:evenHBand="0" w:firstRowFirstColumn="0" w:firstRowLastColumn="0" w:lastRowFirstColumn="0" w:lastRowLastColumn="0"/>
            <w:tcW w:w="4429" w:type="dxa"/>
            <w:vAlign w:val="bottom"/>
          </w:tcPr>
          <w:p w14:paraId="40714604" w14:textId="77777777" w:rsidR="007B7B6D" w:rsidRPr="007B7B6D" w:rsidRDefault="007B7B6D" w:rsidP="007B7B6D">
            <w:pPr>
              <w:spacing w:after="0"/>
              <w:jc w:val="center"/>
              <w:rPr>
                <w:rFonts w:ascii="Arial" w:hAnsi="Arial" w:cs="Arial"/>
                <w:color w:val="222222"/>
                <w:shd w:val="clear" w:color="auto" w:fill="FFFFFF"/>
              </w:rPr>
            </w:pPr>
            <w:r w:rsidRPr="007B7B6D">
              <w:rPr>
                <w:rFonts w:ascii="Arial" w:hAnsi="Arial" w:cs="Arial"/>
                <w:color w:val="222222"/>
                <w:shd w:val="clear" w:color="auto" w:fill="FFFFFF"/>
              </w:rPr>
              <w:t>Carreteras</w:t>
            </w:r>
          </w:p>
        </w:tc>
        <w:tc>
          <w:tcPr>
            <w:tcW w:w="4429" w:type="dxa"/>
            <w:vAlign w:val="bottom"/>
          </w:tcPr>
          <w:p w14:paraId="5497E63D" w14:textId="77777777" w:rsidR="007B7B6D" w:rsidRPr="007B7B6D" w:rsidRDefault="007B7B6D" w:rsidP="007B7B6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22222"/>
                <w:shd w:val="clear" w:color="auto" w:fill="FFFFFF"/>
              </w:rPr>
            </w:pPr>
            <w:r w:rsidRPr="007B7B6D">
              <w:rPr>
                <w:rFonts w:ascii="Arial" w:hAnsi="Arial" w:cs="Arial"/>
                <w:color w:val="222222"/>
                <w:shd w:val="clear" w:color="auto" w:fill="FFFFFF"/>
              </w:rPr>
              <w:t>70</w:t>
            </w:r>
          </w:p>
        </w:tc>
      </w:tr>
    </w:tbl>
    <w:p w14:paraId="5E851C8B" w14:textId="77777777" w:rsidR="007B7B6D" w:rsidRPr="007B7B6D" w:rsidRDefault="007B7B6D" w:rsidP="007B7B6D">
      <w:pPr>
        <w:jc w:val="center"/>
        <w:rPr>
          <w:rFonts w:ascii="Arial" w:hAnsi="Arial" w:cs="Arial"/>
          <w:color w:val="222222"/>
          <w:shd w:val="clear" w:color="auto" w:fill="FFFFFF"/>
        </w:rPr>
      </w:pPr>
    </w:p>
    <w:p w14:paraId="55BAC6E4" w14:textId="4750851E" w:rsidR="007B7B6D" w:rsidRPr="004311FC" w:rsidRDefault="007B7B6D" w:rsidP="002D4D19">
      <w:pPr>
        <w:autoSpaceDE w:val="0"/>
        <w:autoSpaceDN w:val="0"/>
        <w:adjustRightInd w:val="0"/>
        <w:spacing w:after="0"/>
        <w:jc w:val="both"/>
        <w:rPr>
          <w:rFonts w:ascii="Arial" w:hAnsi="Arial" w:cs="Arial"/>
        </w:rPr>
      </w:pPr>
      <w:r w:rsidRPr="007B7B6D">
        <w:rPr>
          <w:rFonts w:ascii="Arial" w:hAnsi="Arial" w:cs="Arial"/>
          <w:color w:val="222222"/>
          <w:shd w:val="clear" w:color="auto" w:fill="FFFFFF"/>
        </w:rPr>
        <w:t xml:space="preserve">Fuente: Elaboración Propia a partir de </w:t>
      </w:r>
      <w:r w:rsidRPr="007B7B6D">
        <w:rPr>
          <w:rFonts w:ascii="Arial" w:hAnsi="Arial" w:cs="Arial"/>
        </w:rPr>
        <w:t xml:space="preserve">O.M.S. (1999). </w:t>
      </w:r>
      <w:proofErr w:type="spellStart"/>
      <w:r w:rsidRPr="007B7B6D">
        <w:rPr>
          <w:rFonts w:ascii="Arial" w:hAnsi="Arial" w:cs="Arial"/>
        </w:rPr>
        <w:t>Guidelines</w:t>
      </w:r>
      <w:proofErr w:type="spellEnd"/>
      <w:r w:rsidRPr="007B7B6D">
        <w:rPr>
          <w:rFonts w:ascii="Arial" w:hAnsi="Arial" w:cs="Arial"/>
        </w:rPr>
        <w:t xml:space="preserve"> </w:t>
      </w:r>
      <w:proofErr w:type="spellStart"/>
      <w:r w:rsidRPr="007B7B6D">
        <w:rPr>
          <w:rFonts w:ascii="Arial" w:hAnsi="Arial" w:cs="Arial"/>
        </w:rPr>
        <w:t>for</w:t>
      </w:r>
      <w:proofErr w:type="spellEnd"/>
      <w:r w:rsidRPr="007B7B6D">
        <w:rPr>
          <w:rFonts w:ascii="Arial" w:hAnsi="Arial" w:cs="Arial"/>
        </w:rPr>
        <w:t xml:space="preserve"> </w:t>
      </w:r>
      <w:proofErr w:type="spellStart"/>
      <w:r w:rsidRPr="007B7B6D">
        <w:rPr>
          <w:rFonts w:ascii="Arial" w:hAnsi="Arial" w:cs="Arial"/>
        </w:rPr>
        <w:t>Community</w:t>
      </w:r>
      <w:proofErr w:type="spellEnd"/>
      <w:r w:rsidRPr="007B7B6D">
        <w:rPr>
          <w:rFonts w:ascii="Arial" w:hAnsi="Arial" w:cs="Arial"/>
        </w:rPr>
        <w:t xml:space="preserve"> </w:t>
      </w:r>
      <w:proofErr w:type="spellStart"/>
      <w:r w:rsidRPr="007B7B6D">
        <w:rPr>
          <w:rFonts w:ascii="Arial" w:hAnsi="Arial" w:cs="Arial"/>
        </w:rPr>
        <w:t>Noise</w:t>
      </w:r>
      <w:proofErr w:type="spellEnd"/>
      <w:r w:rsidRPr="007B7B6D">
        <w:rPr>
          <w:rFonts w:ascii="Arial" w:hAnsi="Arial" w:cs="Arial"/>
        </w:rPr>
        <w:t xml:space="preserve">. Geneva: Berglund, B </w:t>
      </w:r>
      <w:proofErr w:type="spellStart"/>
      <w:r w:rsidRPr="007B7B6D">
        <w:rPr>
          <w:rFonts w:ascii="Arial" w:hAnsi="Arial" w:cs="Arial"/>
        </w:rPr>
        <w:t>Lindvall</w:t>
      </w:r>
      <w:proofErr w:type="spellEnd"/>
      <w:r w:rsidRPr="007B7B6D">
        <w:rPr>
          <w:rFonts w:ascii="Arial" w:hAnsi="Arial" w:cs="Arial"/>
        </w:rPr>
        <w:t xml:space="preserve">, T., &amp; H </w:t>
      </w:r>
      <w:proofErr w:type="spellStart"/>
      <w:r w:rsidRPr="007B7B6D">
        <w:rPr>
          <w:rFonts w:ascii="Arial" w:hAnsi="Arial" w:cs="Arial"/>
        </w:rPr>
        <w:t>Schwella</w:t>
      </w:r>
      <w:proofErr w:type="spellEnd"/>
      <w:r w:rsidRPr="007B7B6D">
        <w:rPr>
          <w:rFonts w:ascii="Arial" w:hAnsi="Arial" w:cs="Arial"/>
        </w:rPr>
        <w:t>, D.</w:t>
      </w:r>
    </w:p>
    <w:p w14:paraId="304C7167" w14:textId="256DE86E" w:rsidR="002E530C" w:rsidRDefault="002E530C" w:rsidP="00241617">
      <w:pPr>
        <w:spacing w:after="0"/>
        <w:jc w:val="both"/>
        <w:rPr>
          <w:rFonts w:ascii="Arial" w:hAnsi="Arial" w:cs="Arial"/>
        </w:rPr>
      </w:pPr>
    </w:p>
    <w:p w14:paraId="047A8826" w14:textId="6BC5D884" w:rsidR="002D4D19" w:rsidRDefault="002D4D19" w:rsidP="00241617">
      <w:pPr>
        <w:spacing w:after="0"/>
        <w:jc w:val="both"/>
        <w:rPr>
          <w:rFonts w:ascii="Arial" w:hAnsi="Arial" w:cs="Arial"/>
        </w:rPr>
      </w:pPr>
    </w:p>
    <w:p w14:paraId="2010416E" w14:textId="2AAAEE02" w:rsidR="002D4D19" w:rsidRDefault="002D4D19" w:rsidP="00241617">
      <w:pPr>
        <w:spacing w:after="0"/>
        <w:jc w:val="both"/>
        <w:rPr>
          <w:rFonts w:ascii="Arial" w:hAnsi="Arial" w:cs="Arial"/>
        </w:rPr>
      </w:pPr>
    </w:p>
    <w:p w14:paraId="7A797C6B" w14:textId="21A70FD5" w:rsidR="002D4D19" w:rsidRDefault="002D4D19" w:rsidP="00241617">
      <w:pPr>
        <w:spacing w:after="0"/>
        <w:jc w:val="both"/>
        <w:rPr>
          <w:rFonts w:ascii="Arial" w:hAnsi="Arial" w:cs="Arial"/>
        </w:rPr>
      </w:pPr>
    </w:p>
    <w:p w14:paraId="211714B4" w14:textId="0D820B52" w:rsidR="002D4D19" w:rsidRDefault="002D4D19" w:rsidP="00241617">
      <w:pPr>
        <w:spacing w:after="0"/>
        <w:jc w:val="both"/>
        <w:rPr>
          <w:rFonts w:ascii="Arial" w:hAnsi="Arial" w:cs="Arial"/>
        </w:rPr>
      </w:pPr>
    </w:p>
    <w:p w14:paraId="50F8F8AB" w14:textId="7A689494" w:rsidR="002D4D19" w:rsidRDefault="002D4D19" w:rsidP="00241617">
      <w:pPr>
        <w:spacing w:after="0"/>
        <w:jc w:val="both"/>
        <w:rPr>
          <w:rFonts w:ascii="Arial" w:hAnsi="Arial" w:cs="Arial"/>
        </w:rPr>
      </w:pPr>
    </w:p>
    <w:p w14:paraId="1918F784" w14:textId="6DDC3F45" w:rsidR="002D4D19" w:rsidRDefault="002D4D19" w:rsidP="00241617">
      <w:pPr>
        <w:spacing w:after="0"/>
        <w:jc w:val="both"/>
        <w:rPr>
          <w:rFonts w:ascii="Arial" w:hAnsi="Arial" w:cs="Arial"/>
        </w:rPr>
      </w:pPr>
    </w:p>
    <w:p w14:paraId="35741C60" w14:textId="42714E57" w:rsidR="002D4D19" w:rsidRDefault="002D4D19" w:rsidP="00241617">
      <w:pPr>
        <w:spacing w:after="0"/>
        <w:jc w:val="both"/>
        <w:rPr>
          <w:rFonts w:ascii="Arial" w:hAnsi="Arial" w:cs="Arial"/>
        </w:rPr>
      </w:pPr>
    </w:p>
    <w:p w14:paraId="0FD733AE" w14:textId="4DE6460B" w:rsidR="002D4D19" w:rsidRDefault="002D4D19" w:rsidP="00241617">
      <w:pPr>
        <w:spacing w:after="0"/>
        <w:jc w:val="both"/>
        <w:rPr>
          <w:rFonts w:ascii="Arial" w:hAnsi="Arial" w:cs="Arial"/>
        </w:rPr>
      </w:pPr>
    </w:p>
    <w:p w14:paraId="1619F7CE" w14:textId="7D444B36" w:rsidR="002D4D19" w:rsidRDefault="002D4D19" w:rsidP="00241617">
      <w:pPr>
        <w:spacing w:after="0"/>
        <w:jc w:val="both"/>
        <w:rPr>
          <w:rFonts w:ascii="Arial" w:hAnsi="Arial" w:cs="Arial"/>
        </w:rPr>
      </w:pPr>
    </w:p>
    <w:p w14:paraId="40064B5B" w14:textId="4C85BBE6" w:rsidR="002D4D19" w:rsidRDefault="002D4D19" w:rsidP="00241617">
      <w:pPr>
        <w:spacing w:after="0"/>
        <w:jc w:val="both"/>
        <w:rPr>
          <w:rFonts w:ascii="Arial" w:hAnsi="Arial" w:cs="Arial"/>
        </w:rPr>
      </w:pPr>
    </w:p>
    <w:p w14:paraId="4186383A" w14:textId="5527E275" w:rsidR="002D4D19" w:rsidRDefault="002D4D19" w:rsidP="00241617">
      <w:pPr>
        <w:spacing w:after="0"/>
        <w:jc w:val="both"/>
        <w:rPr>
          <w:rFonts w:ascii="Arial" w:hAnsi="Arial" w:cs="Arial"/>
        </w:rPr>
      </w:pPr>
    </w:p>
    <w:p w14:paraId="76279717" w14:textId="67DC3F78" w:rsidR="002D4D19" w:rsidRDefault="002D4D19" w:rsidP="00241617">
      <w:pPr>
        <w:spacing w:after="0"/>
        <w:jc w:val="both"/>
        <w:rPr>
          <w:rFonts w:ascii="Arial" w:hAnsi="Arial" w:cs="Arial"/>
        </w:rPr>
      </w:pPr>
    </w:p>
    <w:p w14:paraId="077BD103" w14:textId="340E2194" w:rsidR="002D4D19" w:rsidRDefault="002D4D19" w:rsidP="00241617">
      <w:pPr>
        <w:spacing w:after="0"/>
        <w:jc w:val="both"/>
        <w:rPr>
          <w:rFonts w:ascii="Arial" w:hAnsi="Arial" w:cs="Arial"/>
        </w:rPr>
      </w:pPr>
    </w:p>
    <w:p w14:paraId="3DDC9B7E" w14:textId="050BBDEE" w:rsidR="002E530C" w:rsidRPr="004311FC" w:rsidRDefault="000B797B" w:rsidP="002E530C">
      <w:pPr>
        <w:jc w:val="center"/>
        <w:rPr>
          <w:rFonts w:ascii="Arial" w:hAnsi="Arial" w:cs="Arial"/>
        </w:rPr>
      </w:pPr>
      <w:r w:rsidRPr="004311FC">
        <w:rPr>
          <w:rFonts w:ascii="Arial" w:hAnsi="Arial" w:cs="Arial"/>
          <w:b/>
        </w:rPr>
        <w:t>Cartografía 1: “Distribución de fuentes fijas en el área urbana de Antofagasta, 2019”</w:t>
      </w:r>
      <w:r w:rsidR="00D54DEE" w:rsidRPr="004311FC">
        <w:rPr>
          <w:rFonts w:ascii="Arial" w:hAnsi="Arial" w:cs="Arial"/>
          <w:noProof/>
          <w:lang w:eastAsia="es-CL"/>
        </w:rPr>
        <w:drawing>
          <wp:inline distT="0" distB="0" distL="0" distR="0" wp14:anchorId="48BF0D4A" wp14:editId="46B4E97B">
            <wp:extent cx="6886575" cy="7534275"/>
            <wp:effectExtent l="0" t="0" r="9525" b="9525"/>
            <wp:docPr id="1" name="Imagen 1"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ntes fijas v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03270" cy="7552540"/>
                    </a:xfrm>
                    <a:prstGeom prst="rect">
                      <a:avLst/>
                    </a:prstGeom>
                  </pic:spPr>
                </pic:pic>
              </a:graphicData>
            </a:graphic>
          </wp:inline>
        </w:drawing>
      </w:r>
    </w:p>
    <w:p w14:paraId="56EEF6EA" w14:textId="3227D9D5" w:rsidR="000B797B" w:rsidRPr="004311FC" w:rsidRDefault="00C21891" w:rsidP="002E530C">
      <w:pPr>
        <w:rPr>
          <w:rFonts w:ascii="Arial" w:hAnsi="Arial" w:cs="Arial"/>
        </w:rPr>
      </w:pPr>
      <w:r w:rsidRPr="004311FC">
        <w:rPr>
          <w:rFonts w:ascii="Arial" w:hAnsi="Arial" w:cs="Arial"/>
        </w:rPr>
        <w:t>F</w:t>
      </w:r>
      <w:r w:rsidR="000B797B" w:rsidRPr="004311FC">
        <w:rPr>
          <w:rFonts w:ascii="Arial" w:hAnsi="Arial" w:cs="Arial"/>
        </w:rPr>
        <w:t xml:space="preserve">uente: Elaboración propia, en base a inventario de Fuentes Fijas (Obtenidas de Listado Oficial y actualizado de patentes municipales 2019 y Medios digitales de información Comercial); manzanas censales e información demográfica obtenida desde Censo 2017. </w:t>
      </w:r>
    </w:p>
    <w:p w14:paraId="703372D4" w14:textId="77777777" w:rsidR="007B7B6D" w:rsidRDefault="007B7B6D" w:rsidP="000B797B">
      <w:pPr>
        <w:ind w:left="708"/>
        <w:rPr>
          <w:rFonts w:ascii="Arial" w:hAnsi="Arial" w:cs="Arial"/>
          <w:b/>
        </w:rPr>
      </w:pPr>
    </w:p>
    <w:p w14:paraId="296B2D31" w14:textId="77777777" w:rsidR="002D4D19" w:rsidRDefault="002D4D19" w:rsidP="000B797B">
      <w:pPr>
        <w:ind w:left="708"/>
        <w:rPr>
          <w:rFonts w:ascii="Arial" w:hAnsi="Arial" w:cs="Arial"/>
          <w:b/>
        </w:rPr>
      </w:pPr>
    </w:p>
    <w:p w14:paraId="25DC0CE3" w14:textId="77777777" w:rsidR="002D4D19" w:rsidRDefault="002D4D19" w:rsidP="000B797B">
      <w:pPr>
        <w:ind w:left="708"/>
        <w:rPr>
          <w:rFonts w:ascii="Arial" w:hAnsi="Arial" w:cs="Arial"/>
          <w:b/>
        </w:rPr>
      </w:pPr>
    </w:p>
    <w:p w14:paraId="2883512A" w14:textId="0FB174D7" w:rsidR="000B797B" w:rsidRPr="004311FC" w:rsidRDefault="000B797B" w:rsidP="000B797B">
      <w:pPr>
        <w:ind w:left="708"/>
        <w:rPr>
          <w:rFonts w:ascii="Arial" w:hAnsi="Arial" w:cs="Arial"/>
          <w:b/>
        </w:rPr>
      </w:pPr>
      <w:r w:rsidRPr="004311FC">
        <w:rPr>
          <w:rFonts w:ascii="Arial" w:hAnsi="Arial" w:cs="Arial"/>
          <w:b/>
        </w:rPr>
        <w:t xml:space="preserve">Tabla </w:t>
      </w:r>
      <w:r w:rsidR="007B7B6D">
        <w:rPr>
          <w:rFonts w:ascii="Arial" w:hAnsi="Arial" w:cs="Arial"/>
          <w:b/>
        </w:rPr>
        <w:t>2</w:t>
      </w:r>
      <w:r w:rsidRPr="004311FC">
        <w:rPr>
          <w:rFonts w:ascii="Arial" w:hAnsi="Arial" w:cs="Arial"/>
          <w:b/>
        </w:rPr>
        <w:t>: “Cantidad de Fuentes, Viviendas, habitantes y costo del ruido por sectores afectados, comuna de Antofagasta, 2019”</w:t>
      </w:r>
    </w:p>
    <w:tbl>
      <w:tblPr>
        <w:tblStyle w:val="Tablanormal21"/>
        <w:tblW w:w="8369" w:type="dxa"/>
        <w:jc w:val="center"/>
        <w:tblLook w:val="04A0" w:firstRow="1" w:lastRow="0" w:firstColumn="1" w:lastColumn="0" w:noHBand="0" w:noVBand="1"/>
      </w:tblPr>
      <w:tblGrid>
        <w:gridCol w:w="1174"/>
        <w:gridCol w:w="2251"/>
        <w:gridCol w:w="1175"/>
        <w:gridCol w:w="1244"/>
        <w:gridCol w:w="1268"/>
        <w:gridCol w:w="1311"/>
      </w:tblGrid>
      <w:tr w:rsidR="00732CE2" w:rsidRPr="004311FC" w14:paraId="5CD83079" w14:textId="77777777" w:rsidTr="002D4D19">
        <w:trPr>
          <w:cnfStyle w:val="100000000000" w:firstRow="1" w:lastRow="0" w:firstColumn="0" w:lastColumn="0" w:oddVBand="0" w:evenVBand="0" w:oddHBand="0" w:evenHBand="0" w:firstRowFirstColumn="0" w:firstRowLastColumn="0" w:lastRowFirstColumn="0" w:lastRowLastColumn="0"/>
          <w:trHeight w:val="1365"/>
          <w:jc w:val="center"/>
        </w:trPr>
        <w:tc>
          <w:tcPr>
            <w:cnfStyle w:val="001000000000" w:firstRow="0" w:lastRow="0" w:firstColumn="1" w:lastColumn="0" w:oddVBand="0" w:evenVBand="0" w:oddHBand="0" w:evenHBand="0" w:firstRowFirstColumn="0" w:firstRowLastColumn="0" w:lastRowFirstColumn="0" w:lastRowLastColumn="0"/>
            <w:tcW w:w="1174" w:type="dxa"/>
            <w:vMerge w:val="restart"/>
            <w:vAlign w:val="center"/>
            <w:hideMark/>
          </w:tcPr>
          <w:p w14:paraId="50CD9026" w14:textId="77777777" w:rsidR="00732CE2" w:rsidRPr="004311FC" w:rsidRDefault="00732CE2" w:rsidP="006D7A5B">
            <w:pPr>
              <w:spacing w:after="0" w:line="240" w:lineRule="auto"/>
              <w:jc w:val="center"/>
              <w:rPr>
                <w:rFonts w:ascii="Arial" w:eastAsia="Times New Roman" w:hAnsi="Arial" w:cs="Arial"/>
                <w:color w:val="000000"/>
                <w:lang w:eastAsia="es-CL"/>
              </w:rPr>
            </w:pPr>
            <w:r w:rsidRPr="004311FC">
              <w:rPr>
                <w:rFonts w:ascii="Arial" w:eastAsia="Times New Roman" w:hAnsi="Arial" w:cs="Arial"/>
                <w:color w:val="000000"/>
                <w:lang w:eastAsia="es-CL"/>
              </w:rPr>
              <w:t>Sector</w:t>
            </w:r>
          </w:p>
        </w:tc>
        <w:tc>
          <w:tcPr>
            <w:tcW w:w="3426" w:type="dxa"/>
            <w:gridSpan w:val="2"/>
            <w:vAlign w:val="center"/>
            <w:hideMark/>
          </w:tcPr>
          <w:p w14:paraId="791FDE1D" w14:textId="77777777" w:rsidR="00732CE2" w:rsidRPr="004311FC" w:rsidRDefault="00732CE2" w:rsidP="006D7A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Fuentes Fijas</w:t>
            </w:r>
          </w:p>
        </w:tc>
        <w:tc>
          <w:tcPr>
            <w:tcW w:w="1217" w:type="dxa"/>
            <w:vMerge w:val="restart"/>
            <w:vAlign w:val="center"/>
            <w:hideMark/>
          </w:tcPr>
          <w:p w14:paraId="5698F658" w14:textId="77777777" w:rsidR="00732CE2" w:rsidRPr="004311FC" w:rsidRDefault="00732CE2" w:rsidP="006D7A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Viviendas</w:t>
            </w:r>
          </w:p>
        </w:tc>
        <w:tc>
          <w:tcPr>
            <w:tcW w:w="1241" w:type="dxa"/>
            <w:vMerge w:val="restart"/>
            <w:vAlign w:val="center"/>
            <w:hideMark/>
          </w:tcPr>
          <w:p w14:paraId="452F78E4" w14:textId="77777777" w:rsidR="00732CE2" w:rsidRPr="004311FC" w:rsidRDefault="00732CE2" w:rsidP="006D7A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Personas Afectadas 2019</w:t>
            </w:r>
          </w:p>
        </w:tc>
        <w:tc>
          <w:tcPr>
            <w:tcW w:w="1311" w:type="dxa"/>
            <w:vMerge w:val="restart"/>
            <w:vAlign w:val="center"/>
            <w:hideMark/>
          </w:tcPr>
          <w:p w14:paraId="493DA462" w14:textId="77777777" w:rsidR="00732CE2" w:rsidRPr="004311FC" w:rsidRDefault="00732CE2" w:rsidP="006D7A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Costo del ruido por sectores en MM$ año 2019</w:t>
            </w:r>
          </w:p>
        </w:tc>
      </w:tr>
      <w:tr w:rsidR="00732CE2" w:rsidRPr="004311FC" w14:paraId="7A71C074"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6CC868DF"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5F6C27D3"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L"/>
              </w:rPr>
            </w:pPr>
            <w:r w:rsidRPr="004311FC">
              <w:rPr>
                <w:rFonts w:ascii="Arial" w:eastAsia="Times New Roman" w:hAnsi="Arial" w:cs="Arial"/>
                <w:b/>
                <w:bCs/>
                <w:color w:val="000000"/>
                <w:lang w:eastAsia="es-CL"/>
              </w:rPr>
              <w:t>Tipo FF</w:t>
            </w:r>
          </w:p>
        </w:tc>
        <w:tc>
          <w:tcPr>
            <w:tcW w:w="1174" w:type="dxa"/>
            <w:vAlign w:val="center"/>
            <w:hideMark/>
          </w:tcPr>
          <w:p w14:paraId="5340AA62"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lang w:eastAsia="es-CL"/>
              </w:rPr>
            </w:pPr>
            <w:r w:rsidRPr="004311FC">
              <w:rPr>
                <w:rFonts w:ascii="Arial" w:eastAsia="Times New Roman" w:hAnsi="Arial" w:cs="Arial"/>
                <w:b/>
                <w:bCs/>
                <w:color w:val="000000"/>
                <w:lang w:eastAsia="es-CL"/>
              </w:rPr>
              <w:t>Cantidad</w:t>
            </w:r>
          </w:p>
        </w:tc>
        <w:tc>
          <w:tcPr>
            <w:tcW w:w="1217" w:type="dxa"/>
            <w:vMerge/>
            <w:vAlign w:val="center"/>
            <w:hideMark/>
          </w:tcPr>
          <w:p w14:paraId="72D55E8B"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7E98FEBE"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4E71AFCA"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750971C8" w14:textId="77777777" w:rsidTr="002D4D19">
        <w:trPr>
          <w:trHeight w:val="387"/>
          <w:jc w:val="center"/>
        </w:trPr>
        <w:tc>
          <w:tcPr>
            <w:cnfStyle w:val="001000000000" w:firstRow="0" w:lastRow="0" w:firstColumn="1" w:lastColumn="0" w:oddVBand="0" w:evenVBand="0" w:oddHBand="0" w:evenHBand="0" w:firstRowFirstColumn="0" w:firstRowLastColumn="0" w:lastRowFirstColumn="0" w:lastRowLastColumn="0"/>
            <w:tcW w:w="1174" w:type="dxa"/>
            <w:vAlign w:val="center"/>
            <w:hideMark/>
          </w:tcPr>
          <w:p w14:paraId="78F12DCE" w14:textId="41D2739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577727DA" w14:textId="41A92FC9"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L"/>
              </w:rPr>
            </w:pPr>
          </w:p>
        </w:tc>
        <w:tc>
          <w:tcPr>
            <w:tcW w:w="1174" w:type="dxa"/>
            <w:vAlign w:val="center"/>
            <w:hideMark/>
          </w:tcPr>
          <w:p w14:paraId="1140C551" w14:textId="129B1A3F"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L"/>
              </w:rPr>
            </w:pPr>
          </w:p>
        </w:tc>
        <w:tc>
          <w:tcPr>
            <w:tcW w:w="1217" w:type="dxa"/>
            <w:vAlign w:val="center"/>
            <w:hideMark/>
          </w:tcPr>
          <w:p w14:paraId="7CDE7636" w14:textId="634AAFC3"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Align w:val="center"/>
            <w:hideMark/>
          </w:tcPr>
          <w:p w14:paraId="7D69E1E3" w14:textId="4345B39E"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Align w:val="center"/>
            <w:hideMark/>
          </w:tcPr>
          <w:p w14:paraId="620BAD6F" w14:textId="64087DD4"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13A9723E"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restart"/>
            <w:vAlign w:val="center"/>
            <w:hideMark/>
          </w:tcPr>
          <w:p w14:paraId="065F0C88" w14:textId="77777777" w:rsidR="00732CE2" w:rsidRPr="004311FC" w:rsidRDefault="00732CE2" w:rsidP="006D7A5B">
            <w:pPr>
              <w:spacing w:after="0" w:line="240" w:lineRule="auto"/>
              <w:jc w:val="center"/>
              <w:rPr>
                <w:rFonts w:ascii="Arial" w:eastAsia="Times New Roman" w:hAnsi="Arial" w:cs="Arial"/>
                <w:color w:val="000000"/>
                <w:lang w:eastAsia="es-CL"/>
              </w:rPr>
            </w:pPr>
            <w:r w:rsidRPr="004311FC">
              <w:rPr>
                <w:rFonts w:ascii="Arial" w:eastAsia="Times New Roman" w:hAnsi="Arial" w:cs="Arial"/>
                <w:color w:val="000000"/>
                <w:lang w:eastAsia="es-CL"/>
              </w:rPr>
              <w:t>Norte</w:t>
            </w:r>
          </w:p>
        </w:tc>
        <w:tc>
          <w:tcPr>
            <w:tcW w:w="2251" w:type="dxa"/>
            <w:vAlign w:val="center"/>
            <w:hideMark/>
          </w:tcPr>
          <w:p w14:paraId="07706F16"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Pub y bares</w:t>
            </w:r>
          </w:p>
        </w:tc>
        <w:tc>
          <w:tcPr>
            <w:tcW w:w="1174" w:type="dxa"/>
            <w:vAlign w:val="center"/>
            <w:hideMark/>
          </w:tcPr>
          <w:p w14:paraId="7F6262E0" w14:textId="0BF28D6F" w:rsidR="00732CE2" w:rsidRPr="004311FC" w:rsidRDefault="006613A0"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28</w:t>
            </w:r>
          </w:p>
        </w:tc>
        <w:tc>
          <w:tcPr>
            <w:tcW w:w="1217" w:type="dxa"/>
            <w:vMerge w:val="restart"/>
            <w:vAlign w:val="center"/>
            <w:hideMark/>
          </w:tcPr>
          <w:p w14:paraId="7C781AF1" w14:textId="15B51282" w:rsidR="00732CE2" w:rsidRPr="004311FC" w:rsidRDefault="006613A0"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22.503</w:t>
            </w:r>
          </w:p>
        </w:tc>
        <w:tc>
          <w:tcPr>
            <w:tcW w:w="1241" w:type="dxa"/>
            <w:vMerge w:val="restart"/>
            <w:vAlign w:val="center"/>
            <w:hideMark/>
          </w:tcPr>
          <w:p w14:paraId="26AE7B3A" w14:textId="234C035E" w:rsidR="00732CE2" w:rsidRPr="004311FC" w:rsidRDefault="006613A0"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77185</w:t>
            </w:r>
          </w:p>
        </w:tc>
        <w:tc>
          <w:tcPr>
            <w:tcW w:w="1311" w:type="dxa"/>
            <w:vMerge w:val="restart"/>
            <w:vAlign w:val="center"/>
            <w:hideMark/>
          </w:tcPr>
          <w:p w14:paraId="0EBA144C" w14:textId="284E6C63"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r w:rsidR="006613A0" w:rsidRPr="004311FC">
              <w:rPr>
                <w:rFonts w:ascii="Arial" w:eastAsia="Times New Roman" w:hAnsi="Arial" w:cs="Arial"/>
                <w:color w:val="000000"/>
                <w:lang w:eastAsia="es-CL"/>
              </w:rPr>
              <w:t>240</w:t>
            </w:r>
          </w:p>
        </w:tc>
      </w:tr>
      <w:tr w:rsidR="00732CE2" w:rsidRPr="004311FC" w14:paraId="64DC2973" w14:textId="77777777" w:rsidTr="002D4D19">
        <w:trPr>
          <w:trHeight w:val="719"/>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669064B3"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4C741F5D"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Industrias y Maestranzas</w:t>
            </w:r>
          </w:p>
        </w:tc>
        <w:tc>
          <w:tcPr>
            <w:tcW w:w="1174" w:type="dxa"/>
            <w:vAlign w:val="center"/>
            <w:hideMark/>
          </w:tcPr>
          <w:p w14:paraId="1DE401B0"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55</w:t>
            </w:r>
          </w:p>
        </w:tc>
        <w:tc>
          <w:tcPr>
            <w:tcW w:w="1217" w:type="dxa"/>
            <w:vMerge/>
            <w:vAlign w:val="center"/>
            <w:hideMark/>
          </w:tcPr>
          <w:p w14:paraId="4F217AAE"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526C3276"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1BD8BD20"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151A7D87"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6D2EFCC9"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3EA4AD52"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roofErr w:type="spellStart"/>
            <w:r w:rsidRPr="004311FC">
              <w:rPr>
                <w:rFonts w:ascii="Arial" w:eastAsia="Times New Roman" w:hAnsi="Arial" w:cs="Arial"/>
                <w:color w:val="000000"/>
                <w:lang w:eastAsia="es-CL"/>
              </w:rPr>
              <w:t>Discotheque</w:t>
            </w:r>
            <w:proofErr w:type="spellEnd"/>
          </w:p>
        </w:tc>
        <w:tc>
          <w:tcPr>
            <w:tcW w:w="1174" w:type="dxa"/>
            <w:vAlign w:val="center"/>
            <w:hideMark/>
          </w:tcPr>
          <w:p w14:paraId="4E99F7D5"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2</w:t>
            </w:r>
          </w:p>
        </w:tc>
        <w:tc>
          <w:tcPr>
            <w:tcW w:w="1217" w:type="dxa"/>
            <w:vMerge/>
            <w:vAlign w:val="center"/>
            <w:hideMark/>
          </w:tcPr>
          <w:p w14:paraId="03C58671"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4BC34B48"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1E2BE5C5"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403FE551" w14:textId="77777777" w:rsidTr="002D4D19">
        <w:trPr>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344E580B"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3C947A15"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Vialidad Principal</w:t>
            </w:r>
          </w:p>
        </w:tc>
        <w:tc>
          <w:tcPr>
            <w:tcW w:w="1174" w:type="dxa"/>
            <w:vAlign w:val="center"/>
            <w:hideMark/>
          </w:tcPr>
          <w:p w14:paraId="271C5A89" w14:textId="21DBA728" w:rsidR="00732CE2" w:rsidRPr="004311FC" w:rsidRDefault="006613A0"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05CA0A9F"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330628DD"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0E5A7B7B"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62F25FD2" w14:textId="77777777" w:rsidTr="002D4D19">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6E4D20C6"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1FEF4FA8"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Vialidad Secundaria</w:t>
            </w:r>
          </w:p>
        </w:tc>
        <w:tc>
          <w:tcPr>
            <w:tcW w:w="1174" w:type="dxa"/>
            <w:vAlign w:val="center"/>
            <w:hideMark/>
          </w:tcPr>
          <w:p w14:paraId="3ACFA018"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4A3D9E2C"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38E9D594"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7DB34F33"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3715C899" w14:textId="77777777" w:rsidTr="002D4D19">
        <w:trPr>
          <w:trHeight w:val="332"/>
          <w:jc w:val="center"/>
        </w:trPr>
        <w:tc>
          <w:tcPr>
            <w:cnfStyle w:val="001000000000" w:firstRow="0" w:lastRow="0" w:firstColumn="1" w:lastColumn="0" w:oddVBand="0" w:evenVBand="0" w:oddHBand="0" w:evenHBand="0" w:firstRowFirstColumn="0" w:firstRowLastColumn="0" w:lastRowFirstColumn="0" w:lastRowLastColumn="0"/>
            <w:tcW w:w="1174" w:type="dxa"/>
            <w:vAlign w:val="center"/>
            <w:hideMark/>
          </w:tcPr>
          <w:p w14:paraId="0752E4B8" w14:textId="34D00828"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121D09C3" w14:textId="2BD5ADB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174" w:type="dxa"/>
            <w:vAlign w:val="center"/>
            <w:hideMark/>
          </w:tcPr>
          <w:p w14:paraId="7F0C4A0A" w14:textId="3F760E63"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17" w:type="dxa"/>
            <w:vAlign w:val="center"/>
            <w:hideMark/>
          </w:tcPr>
          <w:p w14:paraId="1581576C" w14:textId="2F12BBB1"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Align w:val="center"/>
            <w:hideMark/>
          </w:tcPr>
          <w:p w14:paraId="1E039265" w14:textId="7CB732F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Align w:val="center"/>
            <w:hideMark/>
          </w:tcPr>
          <w:p w14:paraId="0A13DD19" w14:textId="1B2B1A61"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3AF43D81"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restart"/>
            <w:vAlign w:val="center"/>
            <w:hideMark/>
          </w:tcPr>
          <w:p w14:paraId="4A65AD21" w14:textId="77777777" w:rsidR="00732CE2" w:rsidRPr="004311FC" w:rsidRDefault="00732CE2" w:rsidP="006D7A5B">
            <w:pPr>
              <w:spacing w:after="0" w:line="240" w:lineRule="auto"/>
              <w:jc w:val="center"/>
              <w:rPr>
                <w:rFonts w:ascii="Arial" w:eastAsia="Times New Roman" w:hAnsi="Arial" w:cs="Arial"/>
                <w:color w:val="000000"/>
                <w:lang w:eastAsia="es-CL"/>
              </w:rPr>
            </w:pPr>
            <w:r w:rsidRPr="004311FC">
              <w:rPr>
                <w:rFonts w:ascii="Arial" w:eastAsia="Times New Roman" w:hAnsi="Arial" w:cs="Arial"/>
                <w:color w:val="000000"/>
                <w:lang w:eastAsia="es-CL"/>
              </w:rPr>
              <w:t>Centro</w:t>
            </w:r>
          </w:p>
        </w:tc>
        <w:tc>
          <w:tcPr>
            <w:tcW w:w="2251" w:type="dxa"/>
            <w:vAlign w:val="center"/>
            <w:hideMark/>
          </w:tcPr>
          <w:p w14:paraId="39AF9E3C"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Pub y bares</w:t>
            </w:r>
          </w:p>
        </w:tc>
        <w:tc>
          <w:tcPr>
            <w:tcW w:w="1174" w:type="dxa"/>
            <w:vAlign w:val="center"/>
            <w:hideMark/>
          </w:tcPr>
          <w:p w14:paraId="21563612"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140</w:t>
            </w:r>
          </w:p>
        </w:tc>
        <w:tc>
          <w:tcPr>
            <w:tcW w:w="1217" w:type="dxa"/>
            <w:vMerge w:val="restart"/>
            <w:vAlign w:val="center"/>
            <w:hideMark/>
          </w:tcPr>
          <w:p w14:paraId="036514F4"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11.482</w:t>
            </w:r>
          </w:p>
        </w:tc>
        <w:tc>
          <w:tcPr>
            <w:tcW w:w="1241" w:type="dxa"/>
            <w:vMerge w:val="restart"/>
            <w:vAlign w:val="center"/>
            <w:hideMark/>
          </w:tcPr>
          <w:p w14:paraId="57E181E5"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29.851</w:t>
            </w:r>
          </w:p>
        </w:tc>
        <w:tc>
          <w:tcPr>
            <w:tcW w:w="1311" w:type="dxa"/>
            <w:vMerge w:val="restart"/>
            <w:vAlign w:val="center"/>
            <w:hideMark/>
          </w:tcPr>
          <w:p w14:paraId="0141234F" w14:textId="09212A65"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4</w:t>
            </w:r>
            <w:r w:rsidR="00D54DEE" w:rsidRPr="004311FC">
              <w:rPr>
                <w:rFonts w:ascii="Arial" w:eastAsia="Times New Roman" w:hAnsi="Arial" w:cs="Arial"/>
                <w:color w:val="000000"/>
                <w:lang w:eastAsia="es-CL"/>
              </w:rPr>
              <w:t>80</w:t>
            </w:r>
          </w:p>
        </w:tc>
      </w:tr>
      <w:tr w:rsidR="00732CE2" w:rsidRPr="004311FC" w14:paraId="42B44C8D" w14:textId="77777777" w:rsidTr="002D4D19">
        <w:trPr>
          <w:trHeight w:val="719"/>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46E8535C"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59D2B907"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Industrias y Maestranzas</w:t>
            </w:r>
          </w:p>
        </w:tc>
        <w:tc>
          <w:tcPr>
            <w:tcW w:w="1174" w:type="dxa"/>
            <w:vAlign w:val="center"/>
            <w:hideMark/>
          </w:tcPr>
          <w:p w14:paraId="04111BC3"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4</w:t>
            </w:r>
          </w:p>
        </w:tc>
        <w:tc>
          <w:tcPr>
            <w:tcW w:w="1217" w:type="dxa"/>
            <w:vMerge/>
            <w:vAlign w:val="center"/>
            <w:hideMark/>
          </w:tcPr>
          <w:p w14:paraId="1F62AFA1"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27F87846"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022AE588"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02600163"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19E99545"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31102C98"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roofErr w:type="spellStart"/>
            <w:r w:rsidRPr="004311FC">
              <w:rPr>
                <w:rFonts w:ascii="Arial" w:eastAsia="Times New Roman" w:hAnsi="Arial" w:cs="Arial"/>
                <w:color w:val="000000"/>
                <w:lang w:eastAsia="es-CL"/>
              </w:rPr>
              <w:t>Discotheque</w:t>
            </w:r>
            <w:proofErr w:type="spellEnd"/>
          </w:p>
        </w:tc>
        <w:tc>
          <w:tcPr>
            <w:tcW w:w="1174" w:type="dxa"/>
            <w:vAlign w:val="center"/>
            <w:hideMark/>
          </w:tcPr>
          <w:p w14:paraId="548B835B"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0</w:t>
            </w:r>
          </w:p>
        </w:tc>
        <w:tc>
          <w:tcPr>
            <w:tcW w:w="1217" w:type="dxa"/>
            <w:vMerge/>
            <w:vAlign w:val="center"/>
            <w:hideMark/>
          </w:tcPr>
          <w:p w14:paraId="073B267C"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03401028"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4BB88F58"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0561892E" w14:textId="77777777" w:rsidTr="002D4D19">
        <w:trPr>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3821D1FC"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04819209"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Vialidad Principal</w:t>
            </w:r>
          </w:p>
        </w:tc>
        <w:tc>
          <w:tcPr>
            <w:tcW w:w="1174" w:type="dxa"/>
            <w:vAlign w:val="center"/>
            <w:hideMark/>
          </w:tcPr>
          <w:p w14:paraId="79CC1372"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2512F4C0"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634438CC"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4B43DC26"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28F562D7"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09D8685B"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4E2818D7"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Vialidad Secundaria</w:t>
            </w:r>
          </w:p>
        </w:tc>
        <w:tc>
          <w:tcPr>
            <w:tcW w:w="1174" w:type="dxa"/>
            <w:vAlign w:val="center"/>
            <w:hideMark/>
          </w:tcPr>
          <w:p w14:paraId="734DC944"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0A2F3BC1"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51140CF1"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09414B60"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496C89F2" w14:textId="77777777" w:rsidTr="002D4D19">
        <w:trPr>
          <w:trHeight w:val="387"/>
          <w:jc w:val="center"/>
        </w:trPr>
        <w:tc>
          <w:tcPr>
            <w:cnfStyle w:val="001000000000" w:firstRow="0" w:lastRow="0" w:firstColumn="1" w:lastColumn="0" w:oddVBand="0" w:evenVBand="0" w:oddHBand="0" w:evenHBand="0" w:firstRowFirstColumn="0" w:firstRowLastColumn="0" w:lastRowFirstColumn="0" w:lastRowLastColumn="0"/>
            <w:tcW w:w="1174" w:type="dxa"/>
            <w:vAlign w:val="center"/>
            <w:hideMark/>
          </w:tcPr>
          <w:p w14:paraId="68DD9816" w14:textId="1555E665"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182076DC" w14:textId="1B746059"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174" w:type="dxa"/>
            <w:vAlign w:val="center"/>
            <w:hideMark/>
          </w:tcPr>
          <w:p w14:paraId="307C9ADB" w14:textId="5AA0FDE3"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17" w:type="dxa"/>
            <w:vAlign w:val="center"/>
            <w:hideMark/>
          </w:tcPr>
          <w:p w14:paraId="374DA198" w14:textId="6D38D936"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Align w:val="center"/>
            <w:hideMark/>
          </w:tcPr>
          <w:p w14:paraId="383D1C7C" w14:textId="38F1CE1A"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Align w:val="center"/>
            <w:hideMark/>
          </w:tcPr>
          <w:p w14:paraId="1B7A99D7" w14:textId="2F7C7B10"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29AC2405"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restart"/>
            <w:vAlign w:val="center"/>
            <w:hideMark/>
          </w:tcPr>
          <w:p w14:paraId="63F4F5A2" w14:textId="77777777" w:rsidR="00732CE2" w:rsidRPr="004311FC" w:rsidRDefault="00732CE2" w:rsidP="006D7A5B">
            <w:pPr>
              <w:spacing w:after="0" w:line="240" w:lineRule="auto"/>
              <w:jc w:val="center"/>
              <w:rPr>
                <w:rFonts w:ascii="Arial" w:eastAsia="Times New Roman" w:hAnsi="Arial" w:cs="Arial"/>
                <w:color w:val="000000"/>
                <w:lang w:eastAsia="es-CL"/>
              </w:rPr>
            </w:pPr>
            <w:r w:rsidRPr="004311FC">
              <w:rPr>
                <w:rFonts w:ascii="Arial" w:eastAsia="Times New Roman" w:hAnsi="Arial" w:cs="Arial"/>
                <w:color w:val="000000"/>
                <w:lang w:eastAsia="es-CL"/>
              </w:rPr>
              <w:t>Sur</w:t>
            </w:r>
          </w:p>
        </w:tc>
        <w:tc>
          <w:tcPr>
            <w:tcW w:w="2251" w:type="dxa"/>
            <w:vAlign w:val="center"/>
            <w:hideMark/>
          </w:tcPr>
          <w:p w14:paraId="47803732"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Pub y bares</w:t>
            </w:r>
          </w:p>
        </w:tc>
        <w:tc>
          <w:tcPr>
            <w:tcW w:w="1174" w:type="dxa"/>
            <w:vAlign w:val="center"/>
            <w:hideMark/>
          </w:tcPr>
          <w:p w14:paraId="1CD24FDC"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57</w:t>
            </w:r>
          </w:p>
        </w:tc>
        <w:tc>
          <w:tcPr>
            <w:tcW w:w="1217" w:type="dxa"/>
            <w:vMerge w:val="restart"/>
            <w:vAlign w:val="center"/>
            <w:hideMark/>
          </w:tcPr>
          <w:p w14:paraId="4B4E6477"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12.985</w:t>
            </w:r>
          </w:p>
        </w:tc>
        <w:tc>
          <w:tcPr>
            <w:tcW w:w="1241" w:type="dxa"/>
            <w:vMerge w:val="restart"/>
            <w:vAlign w:val="center"/>
            <w:hideMark/>
          </w:tcPr>
          <w:p w14:paraId="19711641"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34.080</w:t>
            </w:r>
          </w:p>
        </w:tc>
        <w:tc>
          <w:tcPr>
            <w:tcW w:w="1311" w:type="dxa"/>
            <w:vMerge w:val="restart"/>
            <w:vAlign w:val="center"/>
            <w:hideMark/>
          </w:tcPr>
          <w:p w14:paraId="226F7A1B"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547</w:t>
            </w:r>
          </w:p>
        </w:tc>
      </w:tr>
      <w:tr w:rsidR="00732CE2" w:rsidRPr="004311FC" w14:paraId="6F7B47EE" w14:textId="77777777" w:rsidTr="002D4D19">
        <w:trPr>
          <w:trHeight w:val="719"/>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4BEE8EDC"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19EB6CDC"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Industrias y Maestranzas</w:t>
            </w:r>
          </w:p>
        </w:tc>
        <w:tc>
          <w:tcPr>
            <w:tcW w:w="1174" w:type="dxa"/>
            <w:vAlign w:val="center"/>
            <w:hideMark/>
          </w:tcPr>
          <w:p w14:paraId="77BBECB7"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7F751C8A"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4AD4E845"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64DF8EEF"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5057B9CC"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67835EE2"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35DBF3D2"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roofErr w:type="spellStart"/>
            <w:r w:rsidRPr="004311FC">
              <w:rPr>
                <w:rFonts w:ascii="Arial" w:eastAsia="Times New Roman" w:hAnsi="Arial" w:cs="Arial"/>
                <w:color w:val="000000"/>
                <w:lang w:eastAsia="es-CL"/>
              </w:rPr>
              <w:t>Discotheque</w:t>
            </w:r>
            <w:proofErr w:type="spellEnd"/>
          </w:p>
        </w:tc>
        <w:tc>
          <w:tcPr>
            <w:tcW w:w="1174" w:type="dxa"/>
            <w:vAlign w:val="center"/>
            <w:hideMark/>
          </w:tcPr>
          <w:p w14:paraId="52259275"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0670842D"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258B5484"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6D361F32"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1BC95358" w14:textId="77777777" w:rsidTr="002D4D19">
        <w:trPr>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507FB208"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4DDDBE76"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Vialidad Principal</w:t>
            </w:r>
          </w:p>
        </w:tc>
        <w:tc>
          <w:tcPr>
            <w:tcW w:w="1174" w:type="dxa"/>
            <w:vAlign w:val="center"/>
            <w:hideMark/>
          </w:tcPr>
          <w:p w14:paraId="4EE0A1BD"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1AA9A694"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79684A36"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30F400A4"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p>
        </w:tc>
      </w:tr>
      <w:tr w:rsidR="00732CE2" w:rsidRPr="004311FC" w14:paraId="07B184D6" w14:textId="77777777" w:rsidTr="002D4D19">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174" w:type="dxa"/>
            <w:vMerge/>
            <w:vAlign w:val="center"/>
            <w:hideMark/>
          </w:tcPr>
          <w:p w14:paraId="158F208D" w14:textId="77777777" w:rsidR="00732CE2" w:rsidRPr="004311FC" w:rsidRDefault="00732CE2" w:rsidP="006D7A5B">
            <w:pPr>
              <w:spacing w:after="0" w:line="240" w:lineRule="auto"/>
              <w:jc w:val="center"/>
              <w:rPr>
                <w:rFonts w:ascii="Arial" w:eastAsia="Times New Roman" w:hAnsi="Arial" w:cs="Arial"/>
                <w:color w:val="000000"/>
                <w:lang w:eastAsia="es-CL"/>
              </w:rPr>
            </w:pPr>
          </w:p>
        </w:tc>
        <w:tc>
          <w:tcPr>
            <w:tcW w:w="2251" w:type="dxa"/>
            <w:vAlign w:val="center"/>
            <w:hideMark/>
          </w:tcPr>
          <w:p w14:paraId="2EE082F0"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Vialidad Secundaria</w:t>
            </w:r>
          </w:p>
        </w:tc>
        <w:tc>
          <w:tcPr>
            <w:tcW w:w="1174" w:type="dxa"/>
            <w:vAlign w:val="center"/>
            <w:hideMark/>
          </w:tcPr>
          <w:p w14:paraId="760BF020"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w:t>
            </w:r>
          </w:p>
        </w:tc>
        <w:tc>
          <w:tcPr>
            <w:tcW w:w="1217" w:type="dxa"/>
            <w:vMerge/>
            <w:vAlign w:val="center"/>
            <w:hideMark/>
          </w:tcPr>
          <w:p w14:paraId="4307EBA5"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241" w:type="dxa"/>
            <w:vMerge/>
            <w:vAlign w:val="center"/>
            <w:hideMark/>
          </w:tcPr>
          <w:p w14:paraId="21E7E1B3"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c>
          <w:tcPr>
            <w:tcW w:w="1311" w:type="dxa"/>
            <w:vMerge/>
            <w:vAlign w:val="center"/>
            <w:hideMark/>
          </w:tcPr>
          <w:p w14:paraId="57CA51D0" w14:textId="77777777" w:rsidR="00732CE2" w:rsidRPr="004311FC" w:rsidRDefault="00732CE2" w:rsidP="006D7A5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L"/>
              </w:rPr>
            </w:pPr>
          </w:p>
        </w:tc>
      </w:tr>
      <w:tr w:rsidR="00732CE2" w:rsidRPr="004311FC" w14:paraId="47ECCD58" w14:textId="77777777" w:rsidTr="002D4D19">
        <w:trPr>
          <w:trHeight w:val="387"/>
          <w:jc w:val="center"/>
        </w:trPr>
        <w:tc>
          <w:tcPr>
            <w:cnfStyle w:val="001000000000" w:firstRow="0" w:lastRow="0" w:firstColumn="1" w:lastColumn="0" w:oddVBand="0" w:evenVBand="0" w:oddHBand="0" w:evenHBand="0" w:firstRowFirstColumn="0" w:firstRowLastColumn="0" w:lastRowFirstColumn="0" w:lastRowLastColumn="0"/>
            <w:tcW w:w="4600" w:type="dxa"/>
            <w:gridSpan w:val="3"/>
            <w:noWrap/>
            <w:vAlign w:val="center"/>
            <w:hideMark/>
          </w:tcPr>
          <w:p w14:paraId="4041CB47" w14:textId="77777777" w:rsidR="00732CE2" w:rsidRPr="004311FC" w:rsidRDefault="00732CE2" w:rsidP="006D7A5B">
            <w:pPr>
              <w:spacing w:after="0" w:line="240" w:lineRule="auto"/>
              <w:jc w:val="center"/>
              <w:rPr>
                <w:rFonts w:ascii="Arial" w:eastAsia="Times New Roman" w:hAnsi="Arial" w:cs="Arial"/>
                <w:color w:val="000000"/>
                <w:lang w:eastAsia="es-CL"/>
              </w:rPr>
            </w:pPr>
            <w:r w:rsidRPr="004311FC">
              <w:rPr>
                <w:rFonts w:ascii="Arial" w:eastAsia="Times New Roman" w:hAnsi="Arial" w:cs="Arial"/>
                <w:color w:val="000000"/>
                <w:lang w:eastAsia="es-CL"/>
              </w:rPr>
              <w:t>Totales</w:t>
            </w:r>
          </w:p>
        </w:tc>
        <w:tc>
          <w:tcPr>
            <w:tcW w:w="1217" w:type="dxa"/>
            <w:noWrap/>
            <w:vAlign w:val="center"/>
            <w:hideMark/>
          </w:tcPr>
          <w:p w14:paraId="37202BD9"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46.970</w:t>
            </w:r>
          </w:p>
        </w:tc>
        <w:tc>
          <w:tcPr>
            <w:tcW w:w="1241" w:type="dxa"/>
            <w:noWrap/>
            <w:vAlign w:val="center"/>
            <w:hideMark/>
          </w:tcPr>
          <w:p w14:paraId="683F017E"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141.116</w:t>
            </w:r>
          </w:p>
        </w:tc>
        <w:tc>
          <w:tcPr>
            <w:tcW w:w="1311" w:type="dxa"/>
            <w:noWrap/>
            <w:vAlign w:val="center"/>
            <w:hideMark/>
          </w:tcPr>
          <w:p w14:paraId="54291A8F" w14:textId="77777777" w:rsidR="00732CE2" w:rsidRPr="004311FC" w:rsidRDefault="00732CE2" w:rsidP="006D7A5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L"/>
              </w:rPr>
            </w:pPr>
            <w:r w:rsidRPr="004311FC">
              <w:rPr>
                <w:rFonts w:ascii="Arial" w:eastAsia="Times New Roman" w:hAnsi="Arial" w:cs="Arial"/>
                <w:color w:val="000000"/>
                <w:lang w:eastAsia="es-CL"/>
              </w:rPr>
              <w:t>2.267</w:t>
            </w:r>
          </w:p>
        </w:tc>
      </w:tr>
    </w:tbl>
    <w:p w14:paraId="628E8A4C" w14:textId="77777777" w:rsidR="000B797B" w:rsidRPr="004311FC" w:rsidRDefault="000B797B" w:rsidP="000B797B">
      <w:pPr>
        <w:ind w:left="708"/>
        <w:rPr>
          <w:rFonts w:ascii="Arial" w:hAnsi="Arial" w:cs="Arial"/>
        </w:rPr>
      </w:pPr>
    </w:p>
    <w:p w14:paraId="253E7178" w14:textId="28534B79" w:rsidR="000B797B" w:rsidRPr="004311FC" w:rsidRDefault="000B797B">
      <w:pPr>
        <w:rPr>
          <w:rFonts w:ascii="Arial" w:hAnsi="Arial" w:cs="Arial"/>
        </w:rPr>
      </w:pPr>
      <w:r w:rsidRPr="004311FC">
        <w:rPr>
          <w:rFonts w:ascii="Arial" w:hAnsi="Arial" w:cs="Arial"/>
        </w:rPr>
        <w:t>Fuente: Elaboración Propia en base a datos obtenidos de la ilustre municipalidad de Antofagasta, páginas amarillas, INE 2017, Ortuzar (2005) y Banco Central 2019.</w:t>
      </w:r>
    </w:p>
    <w:sectPr w:rsidR="000B797B" w:rsidRPr="004311FC" w:rsidSect="002D4D1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licious">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varese Bk BT">
    <w:altName w:val="Novarese Bk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116AE"/>
    <w:multiLevelType w:val="multilevel"/>
    <w:tmpl w:val="63BCB1F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0DC081A"/>
    <w:multiLevelType w:val="hybridMultilevel"/>
    <w:tmpl w:val="02387116"/>
    <w:lvl w:ilvl="0" w:tplc="340A000F">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35"/>
    <w:rsid w:val="00042833"/>
    <w:rsid w:val="0009750C"/>
    <w:rsid w:val="000A11DF"/>
    <w:rsid w:val="000B797B"/>
    <w:rsid w:val="000C4B47"/>
    <w:rsid w:val="000D2B6A"/>
    <w:rsid w:val="000D4B49"/>
    <w:rsid w:val="0015196D"/>
    <w:rsid w:val="00177E62"/>
    <w:rsid w:val="002002D5"/>
    <w:rsid w:val="00202466"/>
    <w:rsid w:val="00241617"/>
    <w:rsid w:val="002A23D6"/>
    <w:rsid w:val="002C50B8"/>
    <w:rsid w:val="002D167E"/>
    <w:rsid w:val="002D4D19"/>
    <w:rsid w:val="002E530C"/>
    <w:rsid w:val="003549D8"/>
    <w:rsid w:val="00360E74"/>
    <w:rsid w:val="00370889"/>
    <w:rsid w:val="003759E7"/>
    <w:rsid w:val="00395C35"/>
    <w:rsid w:val="00427F55"/>
    <w:rsid w:val="004311FC"/>
    <w:rsid w:val="00431C04"/>
    <w:rsid w:val="004434CA"/>
    <w:rsid w:val="004570F2"/>
    <w:rsid w:val="004B1963"/>
    <w:rsid w:val="004D7378"/>
    <w:rsid w:val="00500DC9"/>
    <w:rsid w:val="00531A8F"/>
    <w:rsid w:val="00590023"/>
    <w:rsid w:val="005B5168"/>
    <w:rsid w:val="006613A0"/>
    <w:rsid w:val="00683127"/>
    <w:rsid w:val="006B4384"/>
    <w:rsid w:val="006D7A5B"/>
    <w:rsid w:val="006F7D3B"/>
    <w:rsid w:val="00703C0E"/>
    <w:rsid w:val="00732CE2"/>
    <w:rsid w:val="007647ED"/>
    <w:rsid w:val="00783C5F"/>
    <w:rsid w:val="00787F73"/>
    <w:rsid w:val="007B7B6D"/>
    <w:rsid w:val="0087267B"/>
    <w:rsid w:val="00874A14"/>
    <w:rsid w:val="008C6679"/>
    <w:rsid w:val="008D1CF6"/>
    <w:rsid w:val="008D2424"/>
    <w:rsid w:val="008D578A"/>
    <w:rsid w:val="008E2503"/>
    <w:rsid w:val="008E5EF4"/>
    <w:rsid w:val="00923E4E"/>
    <w:rsid w:val="0093613E"/>
    <w:rsid w:val="00950FB2"/>
    <w:rsid w:val="00964A8E"/>
    <w:rsid w:val="00970EB7"/>
    <w:rsid w:val="00993EDF"/>
    <w:rsid w:val="00997113"/>
    <w:rsid w:val="009A2577"/>
    <w:rsid w:val="00A247CB"/>
    <w:rsid w:val="00A500EC"/>
    <w:rsid w:val="00A7303E"/>
    <w:rsid w:val="00A94F0C"/>
    <w:rsid w:val="00AD3656"/>
    <w:rsid w:val="00AE4995"/>
    <w:rsid w:val="00B178E5"/>
    <w:rsid w:val="00B301D6"/>
    <w:rsid w:val="00B47F7C"/>
    <w:rsid w:val="00B72F65"/>
    <w:rsid w:val="00B9580A"/>
    <w:rsid w:val="00C04D9E"/>
    <w:rsid w:val="00C06FF2"/>
    <w:rsid w:val="00C21891"/>
    <w:rsid w:val="00C26CAF"/>
    <w:rsid w:val="00C7177E"/>
    <w:rsid w:val="00C75A7E"/>
    <w:rsid w:val="00C91832"/>
    <w:rsid w:val="00CA4C46"/>
    <w:rsid w:val="00CB2D6F"/>
    <w:rsid w:val="00D541C5"/>
    <w:rsid w:val="00D54DEE"/>
    <w:rsid w:val="00D93E2B"/>
    <w:rsid w:val="00E07F7C"/>
    <w:rsid w:val="00E3154B"/>
    <w:rsid w:val="00E55740"/>
    <w:rsid w:val="00EB7630"/>
    <w:rsid w:val="00EC6B4B"/>
    <w:rsid w:val="00F7249F"/>
    <w:rsid w:val="00F93740"/>
    <w:rsid w:val="00F97F8F"/>
    <w:rsid w:val="00FA41C2"/>
    <w:rsid w:val="00FC49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0DE9"/>
  <w15:chartTrackingRefBased/>
  <w15:docId w15:val="{3590BA98-6501-4F96-AD6D-8C2C1E8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7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797B"/>
    <w:pPr>
      <w:spacing w:after="160" w:line="256" w:lineRule="auto"/>
      <w:ind w:left="720"/>
      <w:contextualSpacing/>
    </w:pPr>
  </w:style>
  <w:style w:type="table" w:customStyle="1" w:styleId="Tablanormal21">
    <w:name w:val="Tabla normal 21"/>
    <w:basedOn w:val="Tablanormal"/>
    <w:uiPriority w:val="42"/>
    <w:rsid w:val="000B79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0">
    <w:name w:val="A10"/>
    <w:uiPriority w:val="99"/>
    <w:rsid w:val="000B797B"/>
    <w:rPr>
      <w:rFonts w:cs="Delicious"/>
      <w:color w:val="000000"/>
      <w:sz w:val="11"/>
      <w:szCs w:val="11"/>
    </w:rPr>
  </w:style>
  <w:style w:type="table" w:styleId="Tablaconcuadrcula">
    <w:name w:val="Table Grid"/>
    <w:basedOn w:val="Tablanormal"/>
    <w:uiPriority w:val="39"/>
    <w:rsid w:val="00732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D167E"/>
    <w:rPr>
      <w:sz w:val="16"/>
      <w:szCs w:val="16"/>
    </w:rPr>
  </w:style>
  <w:style w:type="paragraph" w:styleId="Textocomentario">
    <w:name w:val="annotation text"/>
    <w:basedOn w:val="Normal"/>
    <w:link w:val="TextocomentarioCar"/>
    <w:uiPriority w:val="99"/>
    <w:semiHidden/>
    <w:unhideWhenUsed/>
    <w:rsid w:val="002D1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167E"/>
    <w:rPr>
      <w:sz w:val="20"/>
      <w:szCs w:val="20"/>
    </w:rPr>
  </w:style>
  <w:style w:type="paragraph" w:styleId="Asuntodelcomentario">
    <w:name w:val="annotation subject"/>
    <w:basedOn w:val="Textocomentario"/>
    <w:next w:val="Textocomentario"/>
    <w:link w:val="AsuntodelcomentarioCar"/>
    <w:uiPriority w:val="99"/>
    <w:semiHidden/>
    <w:unhideWhenUsed/>
    <w:rsid w:val="002D167E"/>
    <w:rPr>
      <w:b/>
      <w:bCs/>
    </w:rPr>
  </w:style>
  <w:style w:type="character" w:customStyle="1" w:styleId="AsuntodelcomentarioCar">
    <w:name w:val="Asunto del comentario Car"/>
    <w:basedOn w:val="TextocomentarioCar"/>
    <w:link w:val="Asuntodelcomentario"/>
    <w:uiPriority w:val="99"/>
    <w:semiHidden/>
    <w:rsid w:val="002D167E"/>
    <w:rPr>
      <w:b/>
      <w:bCs/>
      <w:sz w:val="20"/>
      <w:szCs w:val="20"/>
    </w:rPr>
  </w:style>
  <w:style w:type="paragraph" w:styleId="Textodeglobo">
    <w:name w:val="Balloon Text"/>
    <w:basedOn w:val="Normal"/>
    <w:link w:val="TextodegloboCar"/>
    <w:uiPriority w:val="99"/>
    <w:semiHidden/>
    <w:unhideWhenUsed/>
    <w:rsid w:val="002D16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67E"/>
    <w:rPr>
      <w:rFonts w:ascii="Segoe UI" w:hAnsi="Segoe UI" w:cs="Segoe UI"/>
      <w:sz w:val="18"/>
      <w:szCs w:val="18"/>
    </w:rPr>
  </w:style>
  <w:style w:type="character" w:customStyle="1" w:styleId="A5">
    <w:name w:val="A5"/>
    <w:uiPriority w:val="99"/>
    <w:rsid w:val="004311FC"/>
    <w:rPr>
      <w:rFonts w:cs="Novarese Bk B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7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Bae13</b:Tag>
    <b:SourceType>Report</b:SourceType>
    <b:Guid>{A2BCD82D-E403-41AA-9B57-3768F4A3666D}</b:Guid>
    <b:Author>
      <b:Author>
        <b:NameList>
          <b:Person>
            <b:Last>Baeza G.</b:Last>
            <b:First>Et.</b:First>
            <b:Middle>al</b:Middle>
          </b:Person>
        </b:NameList>
      </b:Author>
    </b:Author>
    <b:Title>¿Cuán sustentable es la Región de Antofagasta?: Indicadores y tendencias para un desarrollo sustentable</b:Title>
    <b:Year>2013</b:Year>
    <b:Publisher>Universidad Católica del Norte</b:Publisher>
    <b:City>Antofagasta</b:City>
    <b:Pages>191-196</b:Pages>
    <b:RefOrder>1</b:RefOrder>
  </b:Source>
</b:Sources>
</file>

<file path=customXml/itemProps1.xml><?xml version="1.0" encoding="utf-8"?>
<ds:datastoreItem xmlns:ds="http://schemas.openxmlformats.org/officeDocument/2006/customXml" ds:itemID="{D6B7A143-7C5C-4148-816D-4B1DC781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1198</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Enrique Arancibia Gálvez</dc:creator>
  <cp:keywords/>
  <dc:description/>
  <cp:lastModifiedBy>Orlando Enrique Arancibia Gálvez</cp:lastModifiedBy>
  <cp:revision>4</cp:revision>
  <dcterms:created xsi:type="dcterms:W3CDTF">2019-07-05T20:09:00Z</dcterms:created>
  <dcterms:modified xsi:type="dcterms:W3CDTF">2019-07-05T21:08:00Z</dcterms:modified>
</cp:coreProperties>
</file>