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78FCA" w14:textId="2DBB1C53" w:rsidR="000F097E" w:rsidRPr="006D72A2" w:rsidRDefault="00DE6350" w:rsidP="00212AA9">
      <w:pPr>
        <w:ind w:firstLine="426"/>
        <w:jc w:val="center"/>
        <w:rPr>
          <w:b/>
        </w:rPr>
      </w:pPr>
      <w:r>
        <w:rPr>
          <w:b/>
        </w:rPr>
        <w:t xml:space="preserve">Diagnóstico de la demanda y déficit de infraestructura </w:t>
      </w:r>
      <w:r w:rsidR="000F097E" w:rsidRPr="006D72A2">
        <w:rPr>
          <w:b/>
        </w:rPr>
        <w:t xml:space="preserve">de Educación </w:t>
      </w:r>
      <w:r>
        <w:rPr>
          <w:b/>
        </w:rPr>
        <w:t>de Primera Infancia</w:t>
      </w:r>
      <w:r w:rsidR="000F097E" w:rsidRPr="006D72A2">
        <w:rPr>
          <w:b/>
        </w:rPr>
        <w:t xml:space="preserve"> en la Comuna de Antofagasta</w:t>
      </w:r>
      <w:r w:rsidR="00212AA9">
        <w:rPr>
          <w:b/>
        </w:rPr>
        <w:t>.</w:t>
      </w:r>
    </w:p>
    <w:p w14:paraId="58E4143E" w14:textId="77777777" w:rsidR="00B77F37" w:rsidRPr="006D72A2" w:rsidRDefault="00BF5202" w:rsidP="00D10DBD">
      <w:pPr>
        <w:ind w:firstLine="720"/>
        <w:jc w:val="both"/>
        <w:rPr>
          <w:b/>
        </w:rPr>
      </w:pPr>
      <w:r w:rsidRPr="006D72A2">
        <w:rPr>
          <w:b/>
        </w:rPr>
        <w:t>Resumen:</w:t>
      </w:r>
    </w:p>
    <w:p w14:paraId="40E982E3" w14:textId="74A608B0" w:rsidR="00EC76BD" w:rsidRDefault="00BF5202" w:rsidP="00D10DBD">
      <w:pPr>
        <w:ind w:left="720"/>
        <w:jc w:val="both"/>
      </w:pPr>
      <w:r w:rsidRPr="002B5D0A">
        <w:t>Este avance de investigación, determina e identifica</w:t>
      </w:r>
      <w:r w:rsidR="006A7F1E" w:rsidRPr="002B5D0A">
        <w:t xml:space="preserve"> </w:t>
      </w:r>
      <w:r w:rsidR="006A7B79">
        <w:t xml:space="preserve">el </w:t>
      </w:r>
      <w:r w:rsidR="006A7B79" w:rsidRPr="002B5D0A">
        <w:t xml:space="preserve">déficit </w:t>
      </w:r>
      <w:r w:rsidR="006A7B79">
        <w:t xml:space="preserve">y cobertura </w:t>
      </w:r>
      <w:r w:rsidR="006A7B79" w:rsidRPr="002B5D0A">
        <w:t>de Sala Cuna</w:t>
      </w:r>
      <w:r w:rsidR="006A7B79">
        <w:t>s y Jardi</w:t>
      </w:r>
      <w:r w:rsidR="006A7B79" w:rsidRPr="002B5D0A">
        <w:t>n</w:t>
      </w:r>
      <w:r w:rsidR="006A7B79">
        <w:t>es</w:t>
      </w:r>
      <w:r w:rsidR="006A7B79" w:rsidRPr="002B5D0A">
        <w:t xml:space="preserve"> Infantil</w:t>
      </w:r>
      <w:r w:rsidR="006A7B79">
        <w:t>es</w:t>
      </w:r>
      <w:r w:rsidR="006A7B79">
        <w:t>,</w:t>
      </w:r>
      <w:r w:rsidR="006A7B79" w:rsidRPr="002B5D0A">
        <w:t xml:space="preserve"> </w:t>
      </w:r>
      <w:r w:rsidR="006A7B79">
        <w:t>además</w:t>
      </w:r>
      <w:r w:rsidR="006A7B79">
        <w:t xml:space="preserve"> de</w:t>
      </w:r>
      <w:r w:rsidR="006A7B79" w:rsidRPr="002B5D0A">
        <w:t xml:space="preserve"> </w:t>
      </w:r>
      <w:r w:rsidR="006A7F1E" w:rsidRPr="002B5D0A">
        <w:t xml:space="preserve">la </w:t>
      </w:r>
      <w:r w:rsidR="006C1A98" w:rsidRPr="002B5D0A">
        <w:t xml:space="preserve">distribución </w:t>
      </w:r>
      <w:r w:rsidR="006A7F1E" w:rsidRPr="002B5D0A">
        <w:t>te</w:t>
      </w:r>
      <w:r w:rsidR="00BD4C04" w:rsidRPr="002B5D0A">
        <w:t>rritorial de la</w:t>
      </w:r>
      <w:r w:rsidR="006C1A98" w:rsidRPr="002B5D0A">
        <w:t xml:space="preserve"> </w:t>
      </w:r>
      <w:r w:rsidR="00BD4C04" w:rsidRPr="002B5D0A">
        <w:t>oferta</w:t>
      </w:r>
      <w:r w:rsidR="006A7B79">
        <w:t xml:space="preserve"> y </w:t>
      </w:r>
      <w:r w:rsidR="006C1A98" w:rsidRPr="002B5D0A">
        <w:t>demanda</w:t>
      </w:r>
      <w:r w:rsidR="006A7B79">
        <w:t xml:space="preserve"> </w:t>
      </w:r>
      <w:r w:rsidRPr="002B5D0A">
        <w:t>en la ciudad de Antofagasta</w:t>
      </w:r>
      <w:r w:rsidR="006327B6" w:rsidRPr="002B5D0A">
        <w:t xml:space="preserve"> para el año 2019</w:t>
      </w:r>
      <w:r w:rsidR="00212AA9">
        <w:t>.</w:t>
      </w:r>
      <w:r w:rsidR="006C1A98" w:rsidRPr="002B5D0A">
        <w:t xml:space="preserve"> </w:t>
      </w:r>
      <w:r w:rsidR="00BC1AE4">
        <w:t xml:space="preserve">A través de este </w:t>
      </w:r>
      <w:proofErr w:type="spellStart"/>
      <w:r w:rsidR="00BC1AE4">
        <w:t>preinforme</w:t>
      </w:r>
      <w:proofErr w:type="spellEnd"/>
      <w:r w:rsidR="00BC1AE4">
        <w:t xml:space="preserve"> se</w:t>
      </w:r>
      <w:r w:rsidR="005952B4">
        <w:t xml:space="preserve"> plantea</w:t>
      </w:r>
      <w:r w:rsidR="00BC1AE4">
        <w:t>n</w:t>
      </w:r>
      <w:r w:rsidR="006C1A98" w:rsidRPr="002B5D0A">
        <w:t xml:space="preserve"> </w:t>
      </w:r>
      <w:r w:rsidR="006327B6" w:rsidRPr="002B5D0A">
        <w:t xml:space="preserve">posibles lugares de localización de establecimientos </w:t>
      </w:r>
      <w:r w:rsidR="005952B4">
        <w:t>orientados en la Educación Preescolar,</w:t>
      </w:r>
      <w:r w:rsidR="006327B6" w:rsidRPr="002B5D0A">
        <w:t xml:space="preserve"> </w:t>
      </w:r>
      <w:r w:rsidR="006C1A98" w:rsidRPr="002B5D0A">
        <w:t>mediante la utilización de</w:t>
      </w:r>
      <w:r w:rsidR="006A7F1E" w:rsidRPr="002B5D0A">
        <w:t xml:space="preserve"> </w:t>
      </w:r>
      <w:r w:rsidR="006C1A98" w:rsidRPr="002B5D0A">
        <w:t>datos estadísticos y cartográficos</w:t>
      </w:r>
      <w:r w:rsidR="00BD4C04" w:rsidRPr="002B5D0A">
        <w:t xml:space="preserve">, a través de la </w:t>
      </w:r>
      <w:r w:rsidR="006C1A98" w:rsidRPr="002B5D0A">
        <w:t>herramienta</w:t>
      </w:r>
      <w:r w:rsidR="00BD4C04" w:rsidRPr="002B5D0A">
        <w:t xml:space="preserve"> Sistema de Información Territorial de la Región de Antofagasta (SIT Antofagasta). </w:t>
      </w:r>
      <w:r w:rsidR="007B5B45" w:rsidRPr="002B5D0A">
        <w:t xml:space="preserve"> </w:t>
      </w:r>
    </w:p>
    <w:p w14:paraId="594F1BAD" w14:textId="237C8B70" w:rsidR="00A21E7C" w:rsidRDefault="005952B4" w:rsidP="00D10DBD">
      <w:pPr>
        <w:ind w:left="720"/>
        <w:jc w:val="both"/>
      </w:pPr>
      <w:r>
        <w:t xml:space="preserve">Ha sido de interés de los últimos gobiernos, </w:t>
      </w:r>
      <w:r w:rsidR="00D846BC">
        <w:t>poner</w:t>
      </w:r>
      <w:r w:rsidR="00BC1AE4">
        <w:t xml:space="preserve"> énfasis en  la Educación Inicial apuntando a </w:t>
      </w:r>
      <w:r w:rsidR="00D846BC">
        <w:t xml:space="preserve">que es un elemento determinante que </w:t>
      </w:r>
      <w:r w:rsidR="001D75F1">
        <w:t>permite el acceso a mejores oportunidades, mejorando la calidad de vida de</w:t>
      </w:r>
      <w:r w:rsidR="00D846BC">
        <w:t xml:space="preserve"> las personas</w:t>
      </w:r>
      <w:r w:rsidR="00510002">
        <w:t>;</w:t>
      </w:r>
      <w:r w:rsidR="00BC1AE4">
        <w:t xml:space="preserve"> pero dadas las cifras, esos esfuerzos aún no se han visto reflejados o materializados por lo menos en las </w:t>
      </w:r>
      <w:r w:rsidR="005D60C9" w:rsidRPr="002B5D0A">
        <w:t>estadística</w:t>
      </w:r>
      <w:r w:rsidR="00BC1AE4">
        <w:t>s</w:t>
      </w:r>
      <w:r w:rsidR="005D60C9" w:rsidRPr="002B5D0A">
        <w:t xml:space="preserve"> de demanda y oferta de Educación Parvularia</w:t>
      </w:r>
      <w:r w:rsidR="00BC1AE4">
        <w:t xml:space="preserve">; tal como se puede observar en el siguiente cuadro, que expresa </w:t>
      </w:r>
      <w:r w:rsidR="00510002">
        <w:t>la</w:t>
      </w:r>
      <w:r w:rsidR="00BC1AE4">
        <w:t xml:space="preserve"> </w:t>
      </w:r>
      <w:r w:rsidR="00A21E7C">
        <w:t>cobertura y déf</w:t>
      </w:r>
      <w:r w:rsidR="00961108">
        <w:t xml:space="preserve">icit </w:t>
      </w:r>
      <w:r w:rsidR="00BC1AE4">
        <w:t>para Sala Cuna y Jardín Infantil</w:t>
      </w:r>
      <w:r w:rsidR="00510002">
        <w:t xml:space="preserve"> en Antofagasta</w:t>
      </w:r>
      <w:r w:rsidR="00BC1AE4">
        <w:t>:</w:t>
      </w:r>
    </w:p>
    <w:p w14:paraId="4AE59430" w14:textId="778A9724" w:rsidR="00EC76BD" w:rsidRPr="0016129D" w:rsidRDefault="00D10DBD" w:rsidP="0016129D">
      <w:pPr>
        <w:jc w:val="center"/>
        <w:rPr>
          <w:sz w:val="20"/>
        </w:rPr>
      </w:pPr>
      <w:r>
        <w:rPr>
          <w:sz w:val="20"/>
        </w:rPr>
        <w:t xml:space="preserve">     </w:t>
      </w:r>
      <w:r w:rsidR="00A21E7C" w:rsidRPr="0016129D">
        <w:rPr>
          <w:sz w:val="20"/>
        </w:rPr>
        <w:t>Tabla N°1: Cobertura y Déficit Educación Parvularia por grupos de edad,</w:t>
      </w:r>
      <w:r w:rsidR="00510002">
        <w:rPr>
          <w:sz w:val="20"/>
        </w:rPr>
        <w:t xml:space="preserve"> ciudad</w:t>
      </w:r>
      <w:r w:rsidR="00A21E7C" w:rsidRPr="0016129D">
        <w:rPr>
          <w:sz w:val="20"/>
        </w:rPr>
        <w:t xml:space="preserve"> de Antofagasta</w:t>
      </w:r>
      <w:r w:rsidR="00510002">
        <w:rPr>
          <w:sz w:val="20"/>
        </w:rPr>
        <w:t>.</w:t>
      </w:r>
    </w:p>
    <w:tbl>
      <w:tblPr>
        <w:tblStyle w:val="Cuadrculadetablaclara"/>
        <w:tblW w:w="8761" w:type="dxa"/>
        <w:jc w:val="center"/>
        <w:tblLook w:val="04A0" w:firstRow="1" w:lastRow="0" w:firstColumn="1" w:lastColumn="0" w:noHBand="0" w:noVBand="1"/>
      </w:tblPr>
      <w:tblGrid>
        <w:gridCol w:w="1950"/>
        <w:gridCol w:w="1408"/>
        <w:gridCol w:w="1773"/>
        <w:gridCol w:w="1248"/>
        <w:gridCol w:w="1248"/>
        <w:gridCol w:w="1134"/>
      </w:tblGrid>
      <w:tr w:rsidR="00836CBD" w:rsidRPr="00A21E7C" w14:paraId="6CAEA357" w14:textId="08CA16EE" w:rsidTr="0037240A">
        <w:trPr>
          <w:trHeight w:val="568"/>
          <w:jc w:val="center"/>
        </w:trPr>
        <w:tc>
          <w:tcPr>
            <w:tcW w:w="1950" w:type="dxa"/>
            <w:hideMark/>
          </w:tcPr>
          <w:p w14:paraId="6472D532" w14:textId="77777777" w:rsidR="00836CBD" w:rsidRPr="00A21E7C" w:rsidRDefault="00836CBD" w:rsidP="00836CBD">
            <w:pPr>
              <w:jc w:val="center"/>
              <w:rPr>
                <w:rFonts w:ascii="Calibri" w:eastAsia="Times New Roman" w:hAnsi="Calibri" w:cs="Calibri"/>
                <w:b/>
                <w:bCs/>
                <w:color w:val="000000"/>
                <w:szCs w:val="24"/>
                <w:lang w:val="en-US"/>
              </w:rPr>
            </w:pPr>
            <w:r w:rsidRPr="00A21E7C">
              <w:rPr>
                <w:rFonts w:ascii="Calibri" w:eastAsia="Times New Roman" w:hAnsi="Calibri" w:cs="Calibri"/>
                <w:b/>
                <w:bCs/>
                <w:color w:val="000000"/>
                <w:szCs w:val="24"/>
                <w:lang w:val="en-US"/>
              </w:rPr>
              <w:t>Población Objetivo</w:t>
            </w:r>
          </w:p>
        </w:tc>
        <w:tc>
          <w:tcPr>
            <w:tcW w:w="1408" w:type="dxa"/>
            <w:hideMark/>
          </w:tcPr>
          <w:p w14:paraId="2469BE40" w14:textId="77777777" w:rsidR="00836CBD" w:rsidRPr="00A21E7C" w:rsidRDefault="00836CBD" w:rsidP="00836CBD">
            <w:pPr>
              <w:jc w:val="center"/>
              <w:rPr>
                <w:rFonts w:ascii="Calibri" w:eastAsia="Times New Roman" w:hAnsi="Calibri" w:cs="Calibri"/>
                <w:b/>
                <w:bCs/>
                <w:color w:val="000000"/>
                <w:szCs w:val="24"/>
                <w:lang w:val="en-US"/>
              </w:rPr>
            </w:pPr>
            <w:r w:rsidRPr="00A21E7C">
              <w:rPr>
                <w:rFonts w:ascii="Calibri" w:eastAsia="Times New Roman" w:hAnsi="Calibri" w:cs="Calibri"/>
                <w:b/>
                <w:bCs/>
                <w:color w:val="000000"/>
                <w:szCs w:val="24"/>
                <w:lang w:val="en-US"/>
              </w:rPr>
              <w:t>Cantidad población</w:t>
            </w:r>
          </w:p>
        </w:tc>
        <w:tc>
          <w:tcPr>
            <w:tcW w:w="1773" w:type="dxa"/>
            <w:hideMark/>
          </w:tcPr>
          <w:p w14:paraId="07B463FC" w14:textId="77777777" w:rsidR="00836CBD" w:rsidRPr="00A21E7C" w:rsidRDefault="00836CBD" w:rsidP="00836CBD">
            <w:pPr>
              <w:jc w:val="center"/>
              <w:rPr>
                <w:rFonts w:ascii="Calibri" w:eastAsia="Times New Roman" w:hAnsi="Calibri" w:cs="Calibri"/>
                <w:b/>
                <w:bCs/>
                <w:color w:val="000000"/>
                <w:szCs w:val="24"/>
                <w:lang w:val="en-US"/>
              </w:rPr>
            </w:pPr>
            <w:r w:rsidRPr="00A21E7C">
              <w:rPr>
                <w:rFonts w:ascii="Calibri" w:eastAsia="Times New Roman" w:hAnsi="Calibri" w:cs="Calibri"/>
                <w:b/>
                <w:bCs/>
                <w:color w:val="000000"/>
                <w:szCs w:val="24"/>
                <w:lang w:val="en-US"/>
              </w:rPr>
              <w:t>Cupos de establecimientos</w:t>
            </w:r>
          </w:p>
        </w:tc>
        <w:tc>
          <w:tcPr>
            <w:tcW w:w="1248" w:type="dxa"/>
          </w:tcPr>
          <w:p w14:paraId="041B2614" w14:textId="3D0881EF" w:rsidR="00836CBD" w:rsidRPr="00A21E7C" w:rsidRDefault="00836CBD" w:rsidP="00836CBD">
            <w:pPr>
              <w:jc w:val="center"/>
              <w:rPr>
                <w:rFonts w:ascii="Calibri" w:eastAsia="Times New Roman" w:hAnsi="Calibri" w:cs="Calibri"/>
                <w:b/>
                <w:bCs/>
                <w:color w:val="000000"/>
                <w:szCs w:val="24"/>
                <w:lang w:val="en-US"/>
              </w:rPr>
            </w:pPr>
            <w:r>
              <w:rPr>
                <w:rFonts w:ascii="Calibri" w:eastAsia="Times New Roman" w:hAnsi="Calibri" w:cs="Calibri"/>
                <w:b/>
                <w:bCs/>
                <w:color w:val="000000"/>
                <w:szCs w:val="24"/>
                <w:lang w:val="en-US"/>
              </w:rPr>
              <w:t>Población sin acceso</w:t>
            </w:r>
          </w:p>
        </w:tc>
        <w:tc>
          <w:tcPr>
            <w:tcW w:w="1248" w:type="dxa"/>
            <w:hideMark/>
          </w:tcPr>
          <w:p w14:paraId="2E6C8002" w14:textId="10CA77DC" w:rsidR="00836CBD" w:rsidRPr="00A21E7C" w:rsidRDefault="00836CBD" w:rsidP="00836CBD">
            <w:pPr>
              <w:jc w:val="center"/>
              <w:rPr>
                <w:rFonts w:ascii="Calibri" w:eastAsia="Times New Roman" w:hAnsi="Calibri" w:cs="Calibri"/>
                <w:b/>
                <w:bCs/>
                <w:color w:val="000000"/>
                <w:szCs w:val="24"/>
                <w:lang w:val="en-US"/>
              </w:rPr>
            </w:pPr>
            <w:r w:rsidRPr="00A21E7C">
              <w:rPr>
                <w:rFonts w:ascii="Calibri" w:eastAsia="Times New Roman" w:hAnsi="Calibri" w:cs="Calibri"/>
                <w:b/>
                <w:bCs/>
                <w:color w:val="000000"/>
                <w:szCs w:val="24"/>
                <w:lang w:val="en-US"/>
              </w:rPr>
              <w:t>Cobertura</w:t>
            </w:r>
          </w:p>
        </w:tc>
        <w:tc>
          <w:tcPr>
            <w:tcW w:w="1134" w:type="dxa"/>
            <w:hideMark/>
          </w:tcPr>
          <w:p w14:paraId="13778ED1" w14:textId="77777777" w:rsidR="00836CBD" w:rsidRPr="00A21E7C" w:rsidRDefault="00836CBD" w:rsidP="00836CBD">
            <w:pPr>
              <w:jc w:val="center"/>
              <w:rPr>
                <w:rFonts w:ascii="Calibri" w:eastAsia="Times New Roman" w:hAnsi="Calibri" w:cs="Calibri"/>
                <w:b/>
                <w:bCs/>
                <w:color w:val="000000"/>
                <w:szCs w:val="24"/>
                <w:lang w:val="en-US"/>
              </w:rPr>
            </w:pPr>
            <w:r w:rsidRPr="00A21E7C">
              <w:rPr>
                <w:rFonts w:ascii="Calibri" w:eastAsia="Times New Roman" w:hAnsi="Calibri" w:cs="Calibri"/>
                <w:b/>
                <w:bCs/>
                <w:color w:val="000000"/>
                <w:szCs w:val="24"/>
                <w:lang w:val="en-US"/>
              </w:rPr>
              <w:t>Déficit</w:t>
            </w:r>
          </w:p>
        </w:tc>
      </w:tr>
      <w:tr w:rsidR="00836CBD" w:rsidRPr="00A21E7C" w14:paraId="2CAF721D" w14:textId="2AFE68EF" w:rsidTr="0037240A">
        <w:trPr>
          <w:trHeight w:val="284"/>
          <w:jc w:val="center"/>
        </w:trPr>
        <w:tc>
          <w:tcPr>
            <w:tcW w:w="1950" w:type="dxa"/>
            <w:hideMark/>
          </w:tcPr>
          <w:p w14:paraId="02BD4263" w14:textId="77777777" w:rsidR="00836CBD" w:rsidRPr="00A21E7C" w:rsidRDefault="00836CBD" w:rsidP="00836CBD">
            <w:pPr>
              <w:jc w:val="center"/>
              <w:rPr>
                <w:rFonts w:ascii="Calibri" w:eastAsia="Times New Roman" w:hAnsi="Calibri" w:cs="Calibri"/>
                <w:b/>
                <w:bCs/>
                <w:color w:val="000000"/>
                <w:szCs w:val="24"/>
                <w:lang w:val="en-US"/>
              </w:rPr>
            </w:pPr>
            <w:r w:rsidRPr="00A21E7C">
              <w:rPr>
                <w:rFonts w:ascii="Calibri" w:eastAsia="Times New Roman" w:hAnsi="Calibri" w:cs="Calibri"/>
                <w:b/>
                <w:bCs/>
                <w:color w:val="000000"/>
                <w:szCs w:val="24"/>
                <w:lang w:val="en-US"/>
              </w:rPr>
              <w:t>0 – 2 años</w:t>
            </w:r>
          </w:p>
        </w:tc>
        <w:tc>
          <w:tcPr>
            <w:tcW w:w="1408" w:type="dxa"/>
            <w:hideMark/>
          </w:tcPr>
          <w:p w14:paraId="31A87428" w14:textId="77777777" w:rsidR="00836CBD" w:rsidRPr="00A21E7C" w:rsidRDefault="00836CBD" w:rsidP="00836CBD">
            <w:pPr>
              <w:jc w:val="center"/>
              <w:rPr>
                <w:rFonts w:ascii="Calibri" w:eastAsia="Times New Roman" w:hAnsi="Calibri" w:cs="Calibri"/>
                <w:color w:val="000000"/>
                <w:szCs w:val="24"/>
                <w:lang w:val="en-US"/>
              </w:rPr>
            </w:pPr>
            <w:r w:rsidRPr="00A21E7C">
              <w:rPr>
                <w:rFonts w:ascii="Calibri" w:eastAsia="Times New Roman" w:hAnsi="Calibri" w:cs="Calibri"/>
                <w:color w:val="000000"/>
                <w:szCs w:val="24"/>
                <w:lang w:val="en-US"/>
              </w:rPr>
              <w:t>14.296</w:t>
            </w:r>
          </w:p>
        </w:tc>
        <w:tc>
          <w:tcPr>
            <w:tcW w:w="1773" w:type="dxa"/>
            <w:hideMark/>
          </w:tcPr>
          <w:p w14:paraId="267CF21C" w14:textId="77777777" w:rsidR="00836CBD" w:rsidRPr="00A21E7C" w:rsidRDefault="00836CBD" w:rsidP="00836CBD">
            <w:pPr>
              <w:jc w:val="center"/>
              <w:rPr>
                <w:rFonts w:ascii="Calibri" w:eastAsia="Times New Roman" w:hAnsi="Calibri" w:cs="Calibri"/>
                <w:color w:val="000000"/>
                <w:szCs w:val="24"/>
                <w:lang w:val="en-US"/>
              </w:rPr>
            </w:pPr>
            <w:r w:rsidRPr="00A21E7C">
              <w:rPr>
                <w:rFonts w:ascii="Calibri" w:eastAsia="Times New Roman" w:hAnsi="Calibri" w:cs="Calibri"/>
                <w:color w:val="000000"/>
                <w:szCs w:val="24"/>
                <w:lang w:val="en-US"/>
              </w:rPr>
              <w:t>2.029</w:t>
            </w:r>
          </w:p>
        </w:tc>
        <w:tc>
          <w:tcPr>
            <w:tcW w:w="1248" w:type="dxa"/>
          </w:tcPr>
          <w:p w14:paraId="64C9F21F" w14:textId="0A6D8319" w:rsidR="00836CBD" w:rsidRPr="00A21E7C" w:rsidRDefault="00836CBD" w:rsidP="00836CBD">
            <w:pPr>
              <w:jc w:val="center"/>
              <w:rPr>
                <w:rFonts w:ascii="Calibri" w:eastAsia="Times New Roman" w:hAnsi="Calibri" w:cs="Calibri"/>
                <w:color w:val="000000"/>
                <w:szCs w:val="24"/>
                <w:lang w:val="en-US"/>
              </w:rPr>
            </w:pPr>
            <w:r>
              <w:rPr>
                <w:rFonts w:ascii="Calibri" w:eastAsia="Times New Roman" w:hAnsi="Calibri" w:cs="Calibri"/>
                <w:color w:val="000000"/>
                <w:szCs w:val="24"/>
                <w:lang w:val="en-US"/>
              </w:rPr>
              <w:t>12.267</w:t>
            </w:r>
          </w:p>
        </w:tc>
        <w:tc>
          <w:tcPr>
            <w:tcW w:w="1248" w:type="dxa"/>
            <w:hideMark/>
          </w:tcPr>
          <w:p w14:paraId="2260E2E8" w14:textId="3471A285" w:rsidR="00836CBD" w:rsidRPr="00A21E7C" w:rsidRDefault="00836CBD" w:rsidP="00836CBD">
            <w:pPr>
              <w:jc w:val="center"/>
              <w:rPr>
                <w:rFonts w:ascii="Calibri" w:eastAsia="Times New Roman" w:hAnsi="Calibri" w:cs="Calibri"/>
                <w:color w:val="000000"/>
                <w:szCs w:val="24"/>
                <w:lang w:val="en-US"/>
              </w:rPr>
            </w:pPr>
            <w:r w:rsidRPr="00A21E7C">
              <w:rPr>
                <w:rFonts w:ascii="Calibri" w:eastAsia="Times New Roman" w:hAnsi="Calibri" w:cs="Calibri"/>
                <w:color w:val="000000"/>
                <w:szCs w:val="24"/>
                <w:lang w:val="en-US"/>
              </w:rPr>
              <w:t>14,19%</w:t>
            </w:r>
          </w:p>
        </w:tc>
        <w:tc>
          <w:tcPr>
            <w:tcW w:w="1134" w:type="dxa"/>
            <w:noWrap/>
            <w:hideMark/>
          </w:tcPr>
          <w:p w14:paraId="79EDA3BD" w14:textId="77777777" w:rsidR="00836CBD" w:rsidRPr="00A21E7C" w:rsidRDefault="00836CBD" w:rsidP="00836CBD">
            <w:pPr>
              <w:jc w:val="right"/>
              <w:rPr>
                <w:rFonts w:ascii="Calibri" w:eastAsia="Times New Roman" w:hAnsi="Calibri" w:cs="Calibri"/>
                <w:color w:val="000000"/>
                <w:szCs w:val="24"/>
                <w:lang w:val="en-US"/>
              </w:rPr>
            </w:pPr>
            <w:r w:rsidRPr="00A21E7C">
              <w:rPr>
                <w:rFonts w:ascii="Calibri" w:eastAsia="Times New Roman" w:hAnsi="Calibri" w:cs="Calibri"/>
                <w:color w:val="000000"/>
                <w:szCs w:val="24"/>
                <w:lang w:val="en-US"/>
              </w:rPr>
              <w:t>85,81%</w:t>
            </w:r>
          </w:p>
        </w:tc>
      </w:tr>
      <w:tr w:rsidR="00836CBD" w:rsidRPr="00A21E7C" w14:paraId="0CE6A3C2" w14:textId="5CCF2C85" w:rsidTr="0037240A">
        <w:trPr>
          <w:trHeight w:val="284"/>
          <w:jc w:val="center"/>
        </w:trPr>
        <w:tc>
          <w:tcPr>
            <w:tcW w:w="1950" w:type="dxa"/>
            <w:hideMark/>
          </w:tcPr>
          <w:p w14:paraId="61B97E1A" w14:textId="77777777" w:rsidR="00836CBD" w:rsidRPr="00A21E7C" w:rsidRDefault="00836CBD" w:rsidP="00836CBD">
            <w:pPr>
              <w:jc w:val="center"/>
              <w:rPr>
                <w:rFonts w:ascii="Calibri" w:eastAsia="Times New Roman" w:hAnsi="Calibri" w:cs="Calibri"/>
                <w:b/>
                <w:bCs/>
                <w:color w:val="000000"/>
                <w:szCs w:val="24"/>
                <w:lang w:val="en-US"/>
              </w:rPr>
            </w:pPr>
            <w:r w:rsidRPr="00A21E7C">
              <w:rPr>
                <w:rFonts w:ascii="Calibri" w:eastAsia="Times New Roman" w:hAnsi="Calibri" w:cs="Calibri"/>
                <w:b/>
                <w:bCs/>
                <w:color w:val="000000"/>
                <w:szCs w:val="24"/>
                <w:lang w:val="en-US"/>
              </w:rPr>
              <w:t>3 – 5 años</w:t>
            </w:r>
          </w:p>
        </w:tc>
        <w:tc>
          <w:tcPr>
            <w:tcW w:w="1408" w:type="dxa"/>
            <w:hideMark/>
          </w:tcPr>
          <w:p w14:paraId="242794CC" w14:textId="77777777" w:rsidR="00836CBD" w:rsidRPr="00A21E7C" w:rsidRDefault="00836CBD" w:rsidP="00836CBD">
            <w:pPr>
              <w:jc w:val="center"/>
              <w:rPr>
                <w:rFonts w:ascii="Calibri" w:eastAsia="Times New Roman" w:hAnsi="Calibri" w:cs="Calibri"/>
                <w:color w:val="000000"/>
                <w:szCs w:val="24"/>
                <w:lang w:val="en-US"/>
              </w:rPr>
            </w:pPr>
            <w:r w:rsidRPr="00A21E7C">
              <w:rPr>
                <w:rFonts w:ascii="Calibri" w:eastAsia="Times New Roman" w:hAnsi="Calibri" w:cs="Calibri"/>
                <w:color w:val="000000"/>
                <w:szCs w:val="24"/>
                <w:lang w:val="en-US"/>
              </w:rPr>
              <w:t>15.702</w:t>
            </w:r>
          </w:p>
        </w:tc>
        <w:tc>
          <w:tcPr>
            <w:tcW w:w="1773" w:type="dxa"/>
            <w:hideMark/>
          </w:tcPr>
          <w:p w14:paraId="1D84186C" w14:textId="77777777" w:rsidR="00836CBD" w:rsidRPr="00A21E7C" w:rsidRDefault="00836CBD" w:rsidP="00836CBD">
            <w:pPr>
              <w:jc w:val="center"/>
              <w:rPr>
                <w:rFonts w:ascii="Calibri" w:eastAsia="Times New Roman" w:hAnsi="Calibri" w:cs="Calibri"/>
                <w:color w:val="000000"/>
                <w:szCs w:val="24"/>
                <w:lang w:val="en-US"/>
              </w:rPr>
            </w:pPr>
            <w:r w:rsidRPr="00A21E7C">
              <w:rPr>
                <w:rFonts w:ascii="Calibri" w:eastAsia="Times New Roman" w:hAnsi="Calibri" w:cs="Calibri"/>
                <w:color w:val="000000"/>
                <w:szCs w:val="24"/>
                <w:lang w:val="en-US"/>
              </w:rPr>
              <w:t>12.595</w:t>
            </w:r>
          </w:p>
        </w:tc>
        <w:tc>
          <w:tcPr>
            <w:tcW w:w="1248" w:type="dxa"/>
          </w:tcPr>
          <w:p w14:paraId="54D1B5D6" w14:textId="264AFE52" w:rsidR="00836CBD" w:rsidRPr="00A21E7C" w:rsidRDefault="00836CBD" w:rsidP="00836CBD">
            <w:pPr>
              <w:jc w:val="center"/>
              <w:rPr>
                <w:rFonts w:ascii="Calibri" w:eastAsia="Times New Roman" w:hAnsi="Calibri" w:cs="Calibri"/>
                <w:color w:val="000000"/>
                <w:szCs w:val="24"/>
                <w:lang w:val="en-US"/>
              </w:rPr>
            </w:pPr>
            <w:r>
              <w:rPr>
                <w:rFonts w:ascii="Calibri" w:eastAsia="Times New Roman" w:hAnsi="Calibri" w:cs="Calibri"/>
                <w:color w:val="000000"/>
                <w:szCs w:val="24"/>
                <w:lang w:val="en-US"/>
              </w:rPr>
              <w:t>3.107</w:t>
            </w:r>
          </w:p>
        </w:tc>
        <w:tc>
          <w:tcPr>
            <w:tcW w:w="1248" w:type="dxa"/>
            <w:hideMark/>
          </w:tcPr>
          <w:p w14:paraId="6FA9B78E" w14:textId="42867553" w:rsidR="00836CBD" w:rsidRPr="00A21E7C" w:rsidRDefault="00836CBD" w:rsidP="00836CBD">
            <w:pPr>
              <w:jc w:val="center"/>
              <w:rPr>
                <w:rFonts w:ascii="Calibri" w:eastAsia="Times New Roman" w:hAnsi="Calibri" w:cs="Calibri"/>
                <w:color w:val="000000"/>
                <w:szCs w:val="24"/>
                <w:lang w:val="en-US"/>
              </w:rPr>
            </w:pPr>
            <w:r w:rsidRPr="00A21E7C">
              <w:rPr>
                <w:rFonts w:ascii="Calibri" w:eastAsia="Times New Roman" w:hAnsi="Calibri" w:cs="Calibri"/>
                <w:color w:val="000000"/>
                <w:szCs w:val="24"/>
                <w:lang w:val="en-US"/>
              </w:rPr>
              <w:t>80,21%</w:t>
            </w:r>
          </w:p>
        </w:tc>
        <w:tc>
          <w:tcPr>
            <w:tcW w:w="1134" w:type="dxa"/>
            <w:noWrap/>
            <w:hideMark/>
          </w:tcPr>
          <w:p w14:paraId="5CF3B7FF" w14:textId="77777777" w:rsidR="00836CBD" w:rsidRPr="00A21E7C" w:rsidRDefault="00836CBD" w:rsidP="00836CBD">
            <w:pPr>
              <w:jc w:val="right"/>
              <w:rPr>
                <w:rFonts w:ascii="Calibri" w:eastAsia="Times New Roman" w:hAnsi="Calibri" w:cs="Calibri"/>
                <w:color w:val="000000"/>
                <w:szCs w:val="24"/>
                <w:lang w:val="en-US"/>
              </w:rPr>
            </w:pPr>
            <w:r w:rsidRPr="00A21E7C">
              <w:rPr>
                <w:rFonts w:ascii="Calibri" w:eastAsia="Times New Roman" w:hAnsi="Calibri" w:cs="Calibri"/>
                <w:color w:val="000000"/>
                <w:szCs w:val="24"/>
                <w:lang w:val="en-US"/>
              </w:rPr>
              <w:t>19,79%</w:t>
            </w:r>
          </w:p>
        </w:tc>
      </w:tr>
      <w:tr w:rsidR="00836CBD" w:rsidRPr="00A21E7C" w14:paraId="344EF934" w14:textId="7E20D28A" w:rsidTr="0037240A">
        <w:trPr>
          <w:trHeight w:val="284"/>
          <w:jc w:val="center"/>
        </w:trPr>
        <w:tc>
          <w:tcPr>
            <w:tcW w:w="1950" w:type="dxa"/>
            <w:hideMark/>
          </w:tcPr>
          <w:p w14:paraId="0724EF18" w14:textId="090FC71C" w:rsidR="00836CBD" w:rsidRPr="00A21E7C" w:rsidRDefault="00836CBD" w:rsidP="006A7B79">
            <w:pPr>
              <w:jc w:val="center"/>
              <w:rPr>
                <w:rFonts w:ascii="Calibri" w:eastAsia="Times New Roman" w:hAnsi="Calibri" w:cs="Calibri"/>
                <w:b/>
                <w:bCs/>
                <w:color w:val="000000"/>
                <w:szCs w:val="24"/>
                <w:lang w:val="en-US"/>
              </w:rPr>
            </w:pPr>
            <w:proofErr w:type="spellStart"/>
            <w:r>
              <w:rPr>
                <w:rFonts w:ascii="Calibri" w:eastAsia="Times New Roman" w:hAnsi="Calibri" w:cs="Calibri"/>
                <w:b/>
                <w:bCs/>
                <w:color w:val="000000"/>
                <w:szCs w:val="24"/>
                <w:lang w:val="en-US"/>
              </w:rPr>
              <w:t>Total</w:t>
            </w:r>
            <w:r w:rsidR="006A7B79">
              <w:rPr>
                <w:rFonts w:ascii="Calibri" w:eastAsia="Times New Roman" w:hAnsi="Calibri" w:cs="Calibri"/>
                <w:b/>
                <w:bCs/>
                <w:color w:val="000000"/>
                <w:szCs w:val="24"/>
                <w:lang w:val="en-US"/>
              </w:rPr>
              <w:t>es</w:t>
            </w:r>
            <w:proofErr w:type="spellEnd"/>
            <w:r>
              <w:rPr>
                <w:rFonts w:ascii="Calibri" w:eastAsia="Times New Roman" w:hAnsi="Calibri" w:cs="Calibri"/>
                <w:b/>
                <w:bCs/>
                <w:color w:val="000000"/>
                <w:szCs w:val="24"/>
                <w:lang w:val="en-US"/>
              </w:rPr>
              <w:t xml:space="preserve"> </w:t>
            </w:r>
          </w:p>
        </w:tc>
        <w:tc>
          <w:tcPr>
            <w:tcW w:w="1408" w:type="dxa"/>
            <w:hideMark/>
          </w:tcPr>
          <w:p w14:paraId="2EF5263D" w14:textId="77777777" w:rsidR="00836CBD" w:rsidRPr="00836CBD" w:rsidRDefault="00836CBD" w:rsidP="00836CBD">
            <w:pPr>
              <w:jc w:val="center"/>
              <w:rPr>
                <w:rFonts w:ascii="Calibri" w:eastAsia="Times New Roman" w:hAnsi="Calibri" w:cs="Calibri"/>
                <w:b/>
                <w:color w:val="000000"/>
                <w:szCs w:val="24"/>
                <w:lang w:val="en-US"/>
              </w:rPr>
            </w:pPr>
            <w:r w:rsidRPr="00836CBD">
              <w:rPr>
                <w:rFonts w:ascii="Calibri" w:eastAsia="Times New Roman" w:hAnsi="Calibri" w:cs="Calibri"/>
                <w:b/>
                <w:color w:val="000000"/>
                <w:szCs w:val="24"/>
                <w:lang w:val="en-US"/>
              </w:rPr>
              <w:t>29.998</w:t>
            </w:r>
          </w:p>
        </w:tc>
        <w:tc>
          <w:tcPr>
            <w:tcW w:w="1773" w:type="dxa"/>
            <w:hideMark/>
          </w:tcPr>
          <w:p w14:paraId="0DC8C6AF" w14:textId="77777777" w:rsidR="00836CBD" w:rsidRPr="00836CBD" w:rsidRDefault="00836CBD" w:rsidP="00836CBD">
            <w:pPr>
              <w:jc w:val="center"/>
              <w:rPr>
                <w:rFonts w:ascii="Calibri" w:eastAsia="Times New Roman" w:hAnsi="Calibri" w:cs="Calibri"/>
                <w:b/>
                <w:color w:val="000000"/>
                <w:szCs w:val="24"/>
                <w:lang w:val="en-US"/>
              </w:rPr>
            </w:pPr>
            <w:r w:rsidRPr="00836CBD">
              <w:rPr>
                <w:rFonts w:ascii="Calibri" w:eastAsia="Times New Roman" w:hAnsi="Calibri" w:cs="Calibri"/>
                <w:b/>
                <w:color w:val="000000"/>
                <w:szCs w:val="24"/>
                <w:lang w:val="en-US"/>
              </w:rPr>
              <w:t>14.624</w:t>
            </w:r>
          </w:p>
        </w:tc>
        <w:tc>
          <w:tcPr>
            <w:tcW w:w="1248" w:type="dxa"/>
          </w:tcPr>
          <w:p w14:paraId="1CB85521" w14:textId="260B5806" w:rsidR="00836CBD" w:rsidRPr="00836CBD" w:rsidRDefault="00836CBD" w:rsidP="00836CBD">
            <w:pPr>
              <w:jc w:val="center"/>
              <w:rPr>
                <w:rFonts w:ascii="Calibri" w:eastAsia="Times New Roman" w:hAnsi="Calibri" w:cs="Calibri"/>
                <w:b/>
                <w:color w:val="000000"/>
                <w:szCs w:val="24"/>
                <w:lang w:val="en-US"/>
              </w:rPr>
            </w:pPr>
            <w:r w:rsidRPr="00836CBD">
              <w:rPr>
                <w:rFonts w:ascii="Calibri" w:eastAsia="Times New Roman" w:hAnsi="Calibri" w:cs="Calibri"/>
                <w:b/>
                <w:color w:val="000000"/>
                <w:szCs w:val="24"/>
                <w:lang w:val="en-US"/>
              </w:rPr>
              <w:t>15.374</w:t>
            </w:r>
          </w:p>
        </w:tc>
        <w:tc>
          <w:tcPr>
            <w:tcW w:w="1248" w:type="dxa"/>
            <w:hideMark/>
          </w:tcPr>
          <w:p w14:paraId="6A7AD6DA" w14:textId="0078B4F3" w:rsidR="00836CBD" w:rsidRPr="00836CBD" w:rsidRDefault="00836CBD" w:rsidP="00836CBD">
            <w:pPr>
              <w:jc w:val="center"/>
              <w:rPr>
                <w:rFonts w:ascii="Calibri" w:eastAsia="Times New Roman" w:hAnsi="Calibri" w:cs="Calibri"/>
                <w:b/>
                <w:color w:val="000000"/>
                <w:szCs w:val="24"/>
                <w:lang w:val="en-US"/>
              </w:rPr>
            </w:pPr>
            <w:r w:rsidRPr="00836CBD">
              <w:rPr>
                <w:rFonts w:ascii="Calibri" w:eastAsia="Times New Roman" w:hAnsi="Calibri" w:cs="Calibri"/>
                <w:b/>
                <w:color w:val="000000"/>
                <w:szCs w:val="24"/>
                <w:lang w:val="en-US"/>
              </w:rPr>
              <w:t>48,75%</w:t>
            </w:r>
          </w:p>
        </w:tc>
        <w:tc>
          <w:tcPr>
            <w:tcW w:w="1134" w:type="dxa"/>
            <w:noWrap/>
            <w:hideMark/>
          </w:tcPr>
          <w:p w14:paraId="05915AA4" w14:textId="77777777" w:rsidR="00836CBD" w:rsidRPr="00836CBD" w:rsidRDefault="00836CBD" w:rsidP="00836CBD">
            <w:pPr>
              <w:jc w:val="right"/>
              <w:rPr>
                <w:rFonts w:ascii="Calibri" w:eastAsia="Times New Roman" w:hAnsi="Calibri" w:cs="Calibri"/>
                <w:b/>
                <w:color w:val="000000"/>
                <w:szCs w:val="24"/>
                <w:lang w:val="en-US"/>
              </w:rPr>
            </w:pPr>
            <w:r w:rsidRPr="00836CBD">
              <w:rPr>
                <w:rFonts w:ascii="Calibri" w:eastAsia="Times New Roman" w:hAnsi="Calibri" w:cs="Calibri"/>
                <w:b/>
                <w:color w:val="000000"/>
                <w:szCs w:val="24"/>
                <w:lang w:val="en-US"/>
              </w:rPr>
              <w:t>51,25%</w:t>
            </w:r>
          </w:p>
        </w:tc>
      </w:tr>
    </w:tbl>
    <w:p w14:paraId="54BB1F80" w14:textId="77777777" w:rsidR="00A21E7C" w:rsidRDefault="00A21E7C" w:rsidP="0016129D">
      <w:pPr>
        <w:jc w:val="center"/>
        <w:rPr>
          <w:sz w:val="20"/>
        </w:rPr>
      </w:pPr>
      <w:r w:rsidRPr="0016129D">
        <w:rPr>
          <w:sz w:val="20"/>
        </w:rPr>
        <w:t>Fuente: Elaboración Propia en base a proyección Censo 2017, MINEDUC, JUNJI, INTEGRA</w:t>
      </w:r>
    </w:p>
    <w:p w14:paraId="2EDF6284" w14:textId="77777777" w:rsidR="001D75F1" w:rsidRPr="0016129D" w:rsidRDefault="001D75F1" w:rsidP="001D75F1">
      <w:pPr>
        <w:rPr>
          <w:sz w:val="20"/>
        </w:rPr>
      </w:pPr>
    </w:p>
    <w:p w14:paraId="036DA948" w14:textId="05CE5E2E" w:rsidR="00EC76BD" w:rsidRDefault="00510002" w:rsidP="00D10DBD">
      <w:pPr>
        <w:ind w:left="720"/>
        <w:jc w:val="both"/>
      </w:pPr>
      <w:r>
        <w:t>Contrastando con</w:t>
      </w:r>
      <w:r w:rsidR="00696C29">
        <w:t xml:space="preserve"> indicadores nacionales y OCDE, se </w:t>
      </w:r>
      <w:r w:rsidR="00212AA9">
        <w:t>ob</w:t>
      </w:r>
      <w:r w:rsidR="00696C29">
        <w:t xml:space="preserve">tiene que </w:t>
      </w:r>
      <w:r w:rsidR="000F6D82">
        <w:t>la</w:t>
      </w:r>
      <w:r w:rsidR="00DA7C9D" w:rsidRPr="002B5D0A">
        <w:t xml:space="preserve"> </w:t>
      </w:r>
      <w:r w:rsidR="005D60C9" w:rsidRPr="002B5D0A">
        <w:t>cobertura de Sala C</w:t>
      </w:r>
      <w:r w:rsidR="00DA7C9D" w:rsidRPr="002B5D0A">
        <w:t>una</w:t>
      </w:r>
      <w:r w:rsidR="003802F6" w:rsidRPr="002B5D0A">
        <w:t xml:space="preserve"> (0 a 2 años)</w:t>
      </w:r>
      <w:r w:rsidR="005D60C9" w:rsidRPr="002B5D0A">
        <w:t xml:space="preserve"> se encuentra muy por debajo del promedio OCDE (33%) y </w:t>
      </w:r>
      <w:r w:rsidR="00EC76BD">
        <w:t xml:space="preserve">de la </w:t>
      </w:r>
      <w:r w:rsidR="00D62476" w:rsidRPr="002B5D0A">
        <w:t>cobertura nacional</w:t>
      </w:r>
      <w:r w:rsidR="00212AA9">
        <w:t xml:space="preserve"> (20%). P</w:t>
      </w:r>
      <w:r w:rsidR="00322B90" w:rsidRPr="002B5D0A">
        <w:t xml:space="preserve">ara la </w:t>
      </w:r>
      <w:r w:rsidR="005D60C9" w:rsidRPr="002B5D0A">
        <w:t>población de 3 a 5 años, la cobertura se encuentra por d</w:t>
      </w:r>
      <w:r w:rsidR="001D75F1">
        <w:t xml:space="preserve">ebajo del promedio OCDE (86%) pero </w:t>
      </w:r>
      <w:r>
        <w:t>en este caso por</w:t>
      </w:r>
      <w:r w:rsidR="001D75F1">
        <w:t xml:space="preserve"> </w:t>
      </w:r>
      <w:r w:rsidR="005D60C9" w:rsidRPr="002B5D0A">
        <w:t>sobre el promedio nacional (79%)</w:t>
      </w:r>
      <w:r w:rsidR="00212AA9">
        <w:t xml:space="preserve">. </w:t>
      </w:r>
      <w:r w:rsidR="001D75F1">
        <w:t>En total,</w:t>
      </w:r>
      <w:r w:rsidR="00D62476" w:rsidRPr="002B5D0A">
        <w:t xml:space="preserve"> </w:t>
      </w:r>
      <w:r>
        <w:t xml:space="preserve">al considerar </w:t>
      </w:r>
      <w:r w:rsidR="00D62476" w:rsidRPr="002B5D0A">
        <w:t xml:space="preserve">la población de 0 a 5 años, se encuentra por debajo del promedio OCDE (70%) y </w:t>
      </w:r>
      <w:r w:rsidR="007B5B45" w:rsidRPr="002B5D0A">
        <w:t xml:space="preserve">de la </w:t>
      </w:r>
      <w:r w:rsidR="00D62476" w:rsidRPr="002B5D0A">
        <w:t>cobertura nacional (53%)</w:t>
      </w:r>
      <w:r w:rsidR="006D72A2" w:rsidRPr="002B5D0A">
        <w:t xml:space="preserve">. </w:t>
      </w:r>
    </w:p>
    <w:p w14:paraId="236982A7" w14:textId="77777777" w:rsidR="00510002" w:rsidRDefault="00322B90" w:rsidP="00D10DBD">
      <w:pPr>
        <w:ind w:left="720"/>
        <w:jc w:val="both"/>
      </w:pPr>
      <w:r w:rsidRPr="002B5D0A">
        <w:t>Según los resultados</w:t>
      </w:r>
      <w:r w:rsidR="0037240A">
        <w:t xml:space="preserve"> (Tabla N°1)</w:t>
      </w:r>
      <w:r w:rsidRPr="002B5D0A">
        <w:t>,</w:t>
      </w:r>
      <w:r w:rsidR="006D72A2" w:rsidRPr="002B5D0A">
        <w:t xml:space="preserve"> se </w:t>
      </w:r>
      <w:r w:rsidR="003802F6" w:rsidRPr="002B5D0A">
        <w:t xml:space="preserve">ha podido </w:t>
      </w:r>
      <w:r w:rsidR="006D72A2" w:rsidRPr="002B5D0A">
        <w:t>determinar que el mayor déficit se</w:t>
      </w:r>
      <w:r w:rsidR="003802F6" w:rsidRPr="002B5D0A">
        <w:t xml:space="preserve"> encuentra</w:t>
      </w:r>
      <w:r w:rsidR="006D72A2" w:rsidRPr="002B5D0A">
        <w:t xml:space="preserve"> en la población </w:t>
      </w:r>
      <w:r w:rsidR="00F41576" w:rsidRPr="002B5D0A">
        <w:t>de</w:t>
      </w:r>
      <w:r w:rsidR="00500C04" w:rsidRPr="002B5D0A">
        <w:t xml:space="preserve"> </w:t>
      </w:r>
      <w:r w:rsidR="002C0B30">
        <w:t>0 a 2 años (</w:t>
      </w:r>
      <w:r w:rsidR="00500C04" w:rsidRPr="002B5D0A">
        <w:t>Sala</w:t>
      </w:r>
      <w:r w:rsidR="006D72A2" w:rsidRPr="002B5D0A">
        <w:t xml:space="preserve"> Cuna</w:t>
      </w:r>
      <w:r w:rsidR="002C0B30">
        <w:t>)</w:t>
      </w:r>
      <w:r w:rsidR="006D72A2" w:rsidRPr="002B5D0A">
        <w:t xml:space="preserve">, </w:t>
      </w:r>
      <w:r w:rsidR="003802F6" w:rsidRPr="002B5D0A">
        <w:t xml:space="preserve">con una cobertura </w:t>
      </w:r>
      <w:r w:rsidR="002C0B30">
        <w:t xml:space="preserve">a penas </w:t>
      </w:r>
      <w:r w:rsidR="003802F6" w:rsidRPr="002B5D0A">
        <w:t>del 14,</w:t>
      </w:r>
      <w:r w:rsidR="000F6D82">
        <w:t>1</w:t>
      </w:r>
      <w:r w:rsidR="00212AA9">
        <w:t>9%. D</w:t>
      </w:r>
      <w:r w:rsidR="002C0B30">
        <w:t xml:space="preserve">ado </w:t>
      </w:r>
      <w:r w:rsidR="00EA5576">
        <w:t>este</w:t>
      </w:r>
      <w:r w:rsidR="002C0B30">
        <w:t xml:space="preserve"> déficit, </w:t>
      </w:r>
      <w:r w:rsidR="004527E5" w:rsidRPr="002B5D0A">
        <w:t xml:space="preserve">es que se </w:t>
      </w:r>
      <w:r w:rsidR="003802F6" w:rsidRPr="002B5D0A">
        <w:t>ha</w:t>
      </w:r>
      <w:r w:rsidR="00510002">
        <w:t xml:space="preserve"> focalizado la segunda etapa de este</w:t>
      </w:r>
      <w:r w:rsidR="002C0B30">
        <w:t xml:space="preserve"> avance de</w:t>
      </w:r>
      <w:r w:rsidR="004527E5" w:rsidRPr="002B5D0A">
        <w:t xml:space="preserve"> i</w:t>
      </w:r>
      <w:r w:rsidR="002C0B30">
        <w:t>nvestigación en esta población</w:t>
      </w:r>
      <w:r w:rsidR="00677B25">
        <w:t xml:space="preserve">, ya que es la que necesita </w:t>
      </w:r>
      <w:r w:rsidR="00510002">
        <w:t xml:space="preserve">visibilizarse y que se le ofrezca una </w:t>
      </w:r>
      <w:r w:rsidR="00677B25">
        <w:t>mayor atención por parte del sistema</w:t>
      </w:r>
      <w:r w:rsidR="0037240A">
        <w:t xml:space="preserve"> público </w:t>
      </w:r>
      <w:r w:rsidR="00677B25">
        <w:t>y de las políticas</w:t>
      </w:r>
      <w:r w:rsidR="00510002">
        <w:t xml:space="preserve"> públicas</w:t>
      </w:r>
      <w:r w:rsidR="00677B25">
        <w:t>.</w:t>
      </w:r>
      <w:r w:rsidR="00DD3719" w:rsidRPr="002B5D0A">
        <w:t xml:space="preserve"> </w:t>
      </w:r>
    </w:p>
    <w:p w14:paraId="1A506844" w14:textId="61118DBD" w:rsidR="00212AA9" w:rsidRDefault="00677B25" w:rsidP="00510002">
      <w:pPr>
        <w:ind w:left="720"/>
        <w:jc w:val="both"/>
      </w:pPr>
      <w:r>
        <w:t xml:space="preserve">Mediante la utilización de tres criterios se han identificado </w:t>
      </w:r>
      <w:r w:rsidR="00510002">
        <w:t xml:space="preserve">espacialmente </w:t>
      </w:r>
      <w:r>
        <w:t xml:space="preserve">aquellos sectores de Antofagasta con </w:t>
      </w:r>
      <w:r w:rsidR="0037240A">
        <w:t xml:space="preserve">una </w:t>
      </w:r>
      <w:r>
        <w:t xml:space="preserve">mayor </w:t>
      </w:r>
      <w:r w:rsidR="0037240A">
        <w:t>carencia</w:t>
      </w:r>
      <w:r>
        <w:t xml:space="preserve"> de establecimientos</w:t>
      </w:r>
      <w:r w:rsidR="0037240A">
        <w:t>, los criterios corresponden a</w:t>
      </w:r>
      <w:r w:rsidR="00500C04" w:rsidRPr="002B5D0A">
        <w:t xml:space="preserve">: </w:t>
      </w:r>
      <w:r>
        <w:t xml:space="preserve">(1) </w:t>
      </w:r>
      <w:r w:rsidR="002C0B30">
        <w:t>localización</w:t>
      </w:r>
      <w:r w:rsidR="004105A1" w:rsidRPr="002B5D0A">
        <w:t xml:space="preserve"> de la demanda, </w:t>
      </w:r>
      <w:r>
        <w:t>(2)</w:t>
      </w:r>
      <w:r w:rsidR="004105A1" w:rsidRPr="002B5D0A">
        <w:t xml:space="preserve"> </w:t>
      </w:r>
      <w:r w:rsidR="00C576F0">
        <w:t>cupos</w:t>
      </w:r>
      <w:r w:rsidR="004105A1" w:rsidRPr="002B5D0A">
        <w:t xml:space="preserve"> de Sala Cuna </w:t>
      </w:r>
      <w:r w:rsidR="00DA7C9D" w:rsidRPr="002B5D0A">
        <w:t>y,</w:t>
      </w:r>
      <w:r w:rsidR="004105A1" w:rsidRPr="002B5D0A">
        <w:t xml:space="preserve"> por último,</w:t>
      </w:r>
      <w:r>
        <w:t xml:space="preserve"> (3)</w:t>
      </w:r>
      <w:r w:rsidR="004105A1" w:rsidRPr="002B5D0A">
        <w:t xml:space="preserve"> el n</w:t>
      </w:r>
      <w:r w:rsidR="00212AA9">
        <w:t>ivel socioeconómico</w:t>
      </w:r>
      <w:r w:rsidR="00C576F0">
        <w:t xml:space="preserve"> de la demanda</w:t>
      </w:r>
      <w:r w:rsidR="00510002">
        <w:t xml:space="preserve"> (Cartografía N°1)</w:t>
      </w:r>
      <w:r w:rsidR="00212AA9">
        <w:t>.</w:t>
      </w:r>
      <w:r w:rsidR="00EA5576">
        <w:t xml:space="preserve"> </w:t>
      </w:r>
      <w:r w:rsidR="00212AA9">
        <w:t xml:space="preserve"> </w:t>
      </w:r>
      <w:r w:rsidR="002C0B30">
        <w:t>Aquellos sectores que presentan mayor vulnerabilidad, se han considerado como prioritarios</w:t>
      </w:r>
      <w:r w:rsidR="004105A1" w:rsidRPr="002B5D0A">
        <w:t xml:space="preserve">, </w:t>
      </w:r>
      <w:r w:rsidR="00EC76BD">
        <w:t>ya</w:t>
      </w:r>
      <w:r w:rsidR="004105A1" w:rsidRPr="002B5D0A">
        <w:t xml:space="preserve"> que esta población requiere que </w:t>
      </w:r>
      <w:r w:rsidR="00322B90" w:rsidRPr="002B5D0A">
        <w:t>los</w:t>
      </w:r>
      <w:r w:rsidR="004105A1" w:rsidRPr="002B5D0A">
        <w:t xml:space="preserve"> establecimientos</w:t>
      </w:r>
      <w:r w:rsidR="003802F6" w:rsidRPr="002B5D0A">
        <w:t xml:space="preserve"> sean gratuitos</w:t>
      </w:r>
      <w:r w:rsidR="004105A1" w:rsidRPr="002B5D0A">
        <w:t xml:space="preserve"> </w:t>
      </w:r>
      <w:r w:rsidR="003802F6" w:rsidRPr="002B5D0A">
        <w:t xml:space="preserve">y </w:t>
      </w:r>
      <w:r w:rsidR="004105A1" w:rsidRPr="002B5D0A">
        <w:t xml:space="preserve">se encuentren </w:t>
      </w:r>
      <w:r w:rsidR="00322B90" w:rsidRPr="002B5D0A">
        <w:t>cerca de sus</w:t>
      </w:r>
      <w:r w:rsidR="004105A1" w:rsidRPr="002B5D0A">
        <w:t xml:space="preserve"> hogares.</w:t>
      </w:r>
      <w:r w:rsidR="00F41576" w:rsidRPr="002B5D0A">
        <w:t xml:space="preserve"> </w:t>
      </w:r>
    </w:p>
    <w:p w14:paraId="473B934B" w14:textId="15C4AFC9" w:rsidR="00510002" w:rsidRPr="00510002" w:rsidRDefault="00510002" w:rsidP="00510002">
      <w:pPr>
        <w:jc w:val="center"/>
      </w:pPr>
      <w:r>
        <w:lastRenderedPageBreak/>
        <w:t>Cartografía N°1: Déficit de Salas Cuna, según nivel socioeconómico y matrículas</w:t>
      </w:r>
      <w:r>
        <w:rPr>
          <w:sz w:val="20"/>
          <w:szCs w:val="18"/>
        </w:rPr>
        <w:t>.</w:t>
      </w:r>
    </w:p>
    <w:p w14:paraId="18C19799" w14:textId="77777777" w:rsidR="00510002" w:rsidRDefault="00510002" w:rsidP="00510002">
      <w:pPr>
        <w:ind w:left="720"/>
        <w:jc w:val="both"/>
      </w:pPr>
    </w:p>
    <w:p w14:paraId="4B5CFE30" w14:textId="77777777" w:rsidR="00510002" w:rsidRDefault="00510002" w:rsidP="00510002">
      <w:pPr>
        <w:tabs>
          <w:tab w:val="left" w:pos="567"/>
        </w:tabs>
        <w:ind w:left="-993" w:right="-1368"/>
        <w:jc w:val="center"/>
      </w:pPr>
      <w:r>
        <w:rPr>
          <w:noProof/>
          <w:lang w:eastAsia="es-CL"/>
        </w:rPr>
        <w:drawing>
          <wp:inline distT="0" distB="0" distL="0" distR="0" wp14:anchorId="3F31F1FC" wp14:editId="1DB786E2">
            <wp:extent cx="5070933" cy="65625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 resumen.jpg"/>
                    <pic:cNvPicPr/>
                  </pic:nvPicPr>
                  <pic:blipFill>
                    <a:blip r:embed="rId4">
                      <a:extLst>
                        <a:ext uri="{28A0092B-C50C-407E-A947-70E740481C1C}">
                          <a14:useLocalDpi xmlns:a14="http://schemas.microsoft.com/office/drawing/2010/main" val="0"/>
                        </a:ext>
                      </a:extLst>
                    </a:blip>
                    <a:stretch>
                      <a:fillRect/>
                    </a:stretch>
                  </pic:blipFill>
                  <pic:spPr>
                    <a:xfrm>
                      <a:off x="0" y="0"/>
                      <a:ext cx="5073041" cy="6565299"/>
                    </a:xfrm>
                    <a:prstGeom prst="rect">
                      <a:avLst/>
                    </a:prstGeom>
                  </pic:spPr>
                </pic:pic>
              </a:graphicData>
            </a:graphic>
          </wp:inline>
        </w:drawing>
      </w:r>
    </w:p>
    <w:p w14:paraId="367F43E8" w14:textId="35986173" w:rsidR="00510002" w:rsidRDefault="00510002" w:rsidP="00510002">
      <w:pPr>
        <w:jc w:val="center"/>
      </w:pPr>
      <w:r w:rsidRPr="00D10DBD">
        <w:rPr>
          <w:sz w:val="20"/>
          <w:szCs w:val="18"/>
        </w:rPr>
        <w:t>Fuente: Elaboración Propia en base a proyección Censo 2017, MINEDUC</w:t>
      </w:r>
      <w:r>
        <w:rPr>
          <w:sz w:val="20"/>
          <w:szCs w:val="18"/>
        </w:rPr>
        <w:t>, JUNJI, INTEGRA</w:t>
      </w:r>
    </w:p>
    <w:p w14:paraId="2103F3DE" w14:textId="75A8AEFC" w:rsidR="007C7285" w:rsidRDefault="007C7285" w:rsidP="004D19A5">
      <w:pPr>
        <w:ind w:left="720"/>
        <w:jc w:val="both"/>
      </w:pPr>
      <w:r w:rsidRPr="002B5D0A">
        <w:t xml:space="preserve">Utilizando </w:t>
      </w:r>
      <w:r w:rsidR="003802F6" w:rsidRPr="002B5D0A">
        <w:t>la herramienta</w:t>
      </w:r>
      <w:r w:rsidR="00510002">
        <w:t xml:space="preserve"> SIT Antofagasta</w:t>
      </w:r>
      <w:r w:rsidRPr="002B5D0A">
        <w:t>,</w:t>
      </w:r>
      <w:r w:rsidR="00A43DB8" w:rsidRPr="002B5D0A">
        <w:t xml:space="preserve"> </w:t>
      </w:r>
      <w:r w:rsidRPr="002B5D0A">
        <w:t xml:space="preserve">se </w:t>
      </w:r>
      <w:r w:rsidR="003802F6" w:rsidRPr="002B5D0A">
        <w:t>ha determinado</w:t>
      </w:r>
      <w:r w:rsidR="00212AA9">
        <w:t xml:space="preserve"> que</w:t>
      </w:r>
      <w:r w:rsidR="004D19A5">
        <w:t xml:space="preserve"> existen más de 7.000 niños y niñas del sector norte y centro alto de la ciudad que presentan una demanda por educación preescolar</w:t>
      </w:r>
      <w:r w:rsidR="0037240A">
        <w:t xml:space="preserve"> (Tabla N°2)</w:t>
      </w:r>
      <w:r w:rsidR="004D19A5">
        <w:t xml:space="preserve">, </w:t>
      </w:r>
      <w:r w:rsidR="00322B90" w:rsidRPr="002B5D0A">
        <w:t xml:space="preserve">que no acceden a Sala Cuna y que para </w:t>
      </w:r>
      <w:r w:rsidRPr="002B5D0A">
        <w:t>satisfacer es</w:t>
      </w:r>
      <w:r w:rsidR="00FD4955" w:rsidRPr="002B5D0A">
        <w:t>t</w:t>
      </w:r>
      <w:r w:rsidRPr="002B5D0A">
        <w:t xml:space="preserve">a demanda, es necesaria la </w:t>
      </w:r>
      <w:r w:rsidR="002B5D0A" w:rsidRPr="002B5D0A">
        <w:t>habilitación</w:t>
      </w:r>
      <w:r w:rsidRPr="002B5D0A">
        <w:t xml:space="preserve"> de 102 salas cuna</w:t>
      </w:r>
      <w:r w:rsidR="003802F6" w:rsidRPr="002B5D0A">
        <w:t>s</w:t>
      </w:r>
      <w:r w:rsidRPr="002B5D0A">
        <w:t xml:space="preserve"> en </w:t>
      </w:r>
      <w:r w:rsidR="003802F6" w:rsidRPr="002B5D0A">
        <w:t>el</w:t>
      </w:r>
      <w:r w:rsidRPr="002B5D0A">
        <w:t xml:space="preserve"> norte y </w:t>
      </w:r>
      <w:r w:rsidR="00FD4955" w:rsidRPr="002B5D0A">
        <w:t xml:space="preserve">62 en el </w:t>
      </w:r>
      <w:r w:rsidRPr="002B5D0A">
        <w:t>centro alto</w:t>
      </w:r>
      <w:r w:rsidR="00FD4955" w:rsidRPr="002B5D0A">
        <w:t xml:space="preserve"> de la ciudad.</w:t>
      </w:r>
    </w:p>
    <w:p w14:paraId="71F15A55" w14:textId="33088BAB" w:rsidR="00510002" w:rsidRDefault="00510002" w:rsidP="004D19A5">
      <w:pPr>
        <w:ind w:left="720"/>
        <w:jc w:val="both"/>
      </w:pPr>
      <w:r>
        <w:rPr>
          <w:sz w:val="20"/>
        </w:rPr>
        <w:lastRenderedPageBreak/>
        <w:t>Tabla N°2</w:t>
      </w:r>
      <w:r w:rsidRPr="0016129D">
        <w:rPr>
          <w:sz w:val="20"/>
        </w:rPr>
        <w:t>: Cobertura y Déficit Educación Parvularia por grupos de edad, Comuna de Antofagasta</w:t>
      </w:r>
    </w:p>
    <w:tbl>
      <w:tblPr>
        <w:tblStyle w:val="Cuadrculadetablaclara"/>
        <w:tblpPr w:leftFromText="141" w:rightFromText="141" w:vertAnchor="text" w:horzAnchor="margin" w:tblpXSpec="center" w:tblpY="64"/>
        <w:tblW w:w="0" w:type="auto"/>
        <w:tblLook w:val="04A0" w:firstRow="1" w:lastRow="0" w:firstColumn="1" w:lastColumn="0" w:noHBand="0" w:noVBand="1"/>
      </w:tblPr>
      <w:tblGrid>
        <w:gridCol w:w="1142"/>
        <w:gridCol w:w="1189"/>
        <w:gridCol w:w="1688"/>
        <w:gridCol w:w="1157"/>
        <w:gridCol w:w="1255"/>
        <w:gridCol w:w="1192"/>
        <w:gridCol w:w="1227"/>
      </w:tblGrid>
      <w:tr w:rsidR="0037240A" w:rsidRPr="001D4B68" w14:paraId="7D0993BB" w14:textId="77777777" w:rsidTr="0037240A">
        <w:trPr>
          <w:trHeight w:val="1842"/>
        </w:trPr>
        <w:tc>
          <w:tcPr>
            <w:tcW w:w="1142" w:type="dxa"/>
            <w:hideMark/>
          </w:tcPr>
          <w:p w14:paraId="6837F82B"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Sectores</w:t>
            </w:r>
          </w:p>
        </w:tc>
        <w:tc>
          <w:tcPr>
            <w:tcW w:w="1189" w:type="dxa"/>
            <w:hideMark/>
          </w:tcPr>
          <w:p w14:paraId="4638754B"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Población de 0 a 2 años</w:t>
            </w:r>
          </w:p>
        </w:tc>
        <w:tc>
          <w:tcPr>
            <w:tcW w:w="1688" w:type="dxa"/>
            <w:hideMark/>
          </w:tcPr>
          <w:p w14:paraId="7EF898C2"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Población con bajo nivel socioeconómico (mayor concentración)</w:t>
            </w:r>
          </w:p>
        </w:tc>
        <w:tc>
          <w:tcPr>
            <w:tcW w:w="1157" w:type="dxa"/>
            <w:hideMark/>
          </w:tcPr>
          <w:p w14:paraId="22093481"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Cantidad Salas Cunas</w:t>
            </w:r>
          </w:p>
        </w:tc>
        <w:tc>
          <w:tcPr>
            <w:tcW w:w="1255" w:type="dxa"/>
            <w:hideMark/>
          </w:tcPr>
          <w:p w14:paraId="562FED3D"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Capacidad de matrículas disponibles Sala Cuna</w:t>
            </w:r>
          </w:p>
        </w:tc>
        <w:tc>
          <w:tcPr>
            <w:tcW w:w="1192" w:type="dxa"/>
            <w:hideMark/>
          </w:tcPr>
          <w:p w14:paraId="07AD15BB"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Población 0 a 2 años sin cobertura</w:t>
            </w:r>
          </w:p>
        </w:tc>
        <w:tc>
          <w:tcPr>
            <w:tcW w:w="1227" w:type="dxa"/>
            <w:hideMark/>
          </w:tcPr>
          <w:p w14:paraId="16274EE0"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Salas Cunas Necesarias para cubrir la demanda</w:t>
            </w:r>
          </w:p>
        </w:tc>
      </w:tr>
      <w:tr w:rsidR="0037240A" w:rsidRPr="001D4B68" w14:paraId="2729AB2A" w14:textId="77777777" w:rsidTr="0037240A">
        <w:trPr>
          <w:trHeight w:val="300"/>
        </w:trPr>
        <w:tc>
          <w:tcPr>
            <w:tcW w:w="1142" w:type="dxa"/>
            <w:hideMark/>
          </w:tcPr>
          <w:p w14:paraId="73755B26"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Norte</w:t>
            </w:r>
          </w:p>
        </w:tc>
        <w:tc>
          <w:tcPr>
            <w:tcW w:w="1189" w:type="dxa"/>
            <w:hideMark/>
          </w:tcPr>
          <w:p w14:paraId="7836C87F"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5.285</w:t>
            </w:r>
          </w:p>
        </w:tc>
        <w:tc>
          <w:tcPr>
            <w:tcW w:w="1688" w:type="dxa"/>
            <w:hideMark/>
          </w:tcPr>
          <w:p w14:paraId="68B6AE8A"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2.749</w:t>
            </w:r>
          </w:p>
        </w:tc>
        <w:tc>
          <w:tcPr>
            <w:tcW w:w="1157" w:type="dxa"/>
            <w:hideMark/>
          </w:tcPr>
          <w:p w14:paraId="4352CE75"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26</w:t>
            </w:r>
          </w:p>
        </w:tc>
        <w:tc>
          <w:tcPr>
            <w:tcW w:w="1255" w:type="dxa"/>
            <w:hideMark/>
          </w:tcPr>
          <w:p w14:paraId="5AC72EAD"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884</w:t>
            </w:r>
          </w:p>
        </w:tc>
        <w:tc>
          <w:tcPr>
            <w:tcW w:w="1192" w:type="dxa"/>
            <w:hideMark/>
          </w:tcPr>
          <w:p w14:paraId="26568A53"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4.401</w:t>
            </w:r>
          </w:p>
        </w:tc>
        <w:tc>
          <w:tcPr>
            <w:tcW w:w="1227" w:type="dxa"/>
            <w:hideMark/>
          </w:tcPr>
          <w:p w14:paraId="61056612"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102</w:t>
            </w:r>
          </w:p>
        </w:tc>
      </w:tr>
      <w:tr w:rsidR="0037240A" w:rsidRPr="001D4B68" w14:paraId="6578C624" w14:textId="77777777" w:rsidTr="0037240A">
        <w:trPr>
          <w:trHeight w:val="300"/>
        </w:trPr>
        <w:tc>
          <w:tcPr>
            <w:tcW w:w="1142" w:type="dxa"/>
            <w:hideMark/>
          </w:tcPr>
          <w:p w14:paraId="04982FF2"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Oeste</w:t>
            </w:r>
          </w:p>
        </w:tc>
        <w:tc>
          <w:tcPr>
            <w:tcW w:w="1189" w:type="dxa"/>
            <w:hideMark/>
          </w:tcPr>
          <w:p w14:paraId="5D74078B"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946</w:t>
            </w:r>
          </w:p>
        </w:tc>
        <w:tc>
          <w:tcPr>
            <w:tcW w:w="1688" w:type="dxa"/>
            <w:hideMark/>
          </w:tcPr>
          <w:p w14:paraId="475234EA"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103</w:t>
            </w:r>
          </w:p>
        </w:tc>
        <w:tc>
          <w:tcPr>
            <w:tcW w:w="1157" w:type="dxa"/>
            <w:hideMark/>
          </w:tcPr>
          <w:p w14:paraId="37C4D18C"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4</w:t>
            </w:r>
          </w:p>
        </w:tc>
        <w:tc>
          <w:tcPr>
            <w:tcW w:w="1255" w:type="dxa"/>
            <w:hideMark/>
          </w:tcPr>
          <w:p w14:paraId="14A7A7DA"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138</w:t>
            </w:r>
          </w:p>
        </w:tc>
        <w:tc>
          <w:tcPr>
            <w:tcW w:w="1192" w:type="dxa"/>
            <w:hideMark/>
          </w:tcPr>
          <w:p w14:paraId="7EDF0E50"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808</w:t>
            </w:r>
          </w:p>
        </w:tc>
        <w:tc>
          <w:tcPr>
            <w:tcW w:w="1227" w:type="dxa"/>
            <w:hideMark/>
          </w:tcPr>
          <w:p w14:paraId="4E351523"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19</w:t>
            </w:r>
          </w:p>
        </w:tc>
      </w:tr>
      <w:tr w:rsidR="0037240A" w:rsidRPr="001D4B68" w14:paraId="4CDC14C4" w14:textId="77777777" w:rsidTr="0037240A">
        <w:trPr>
          <w:trHeight w:val="300"/>
        </w:trPr>
        <w:tc>
          <w:tcPr>
            <w:tcW w:w="1142" w:type="dxa"/>
            <w:hideMark/>
          </w:tcPr>
          <w:p w14:paraId="65563887"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Este</w:t>
            </w:r>
          </w:p>
        </w:tc>
        <w:tc>
          <w:tcPr>
            <w:tcW w:w="1189" w:type="dxa"/>
            <w:hideMark/>
          </w:tcPr>
          <w:p w14:paraId="37C39100"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3.042</w:t>
            </w:r>
          </w:p>
        </w:tc>
        <w:tc>
          <w:tcPr>
            <w:tcW w:w="1688" w:type="dxa"/>
            <w:hideMark/>
          </w:tcPr>
          <w:p w14:paraId="649E6D70" w14:textId="77777777" w:rsidR="0037240A" w:rsidRPr="001D4B68" w:rsidRDefault="0037240A" w:rsidP="0037240A">
            <w:pPr>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1.97</w:t>
            </w:r>
          </w:p>
        </w:tc>
        <w:tc>
          <w:tcPr>
            <w:tcW w:w="1157" w:type="dxa"/>
            <w:hideMark/>
          </w:tcPr>
          <w:p w14:paraId="2CD9439F"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12</w:t>
            </w:r>
          </w:p>
        </w:tc>
        <w:tc>
          <w:tcPr>
            <w:tcW w:w="1255" w:type="dxa"/>
            <w:hideMark/>
          </w:tcPr>
          <w:p w14:paraId="2603EDC0"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395</w:t>
            </w:r>
          </w:p>
        </w:tc>
        <w:tc>
          <w:tcPr>
            <w:tcW w:w="1192" w:type="dxa"/>
            <w:hideMark/>
          </w:tcPr>
          <w:p w14:paraId="7FC4A10F"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2.647</w:t>
            </w:r>
          </w:p>
        </w:tc>
        <w:tc>
          <w:tcPr>
            <w:tcW w:w="1227" w:type="dxa"/>
            <w:hideMark/>
          </w:tcPr>
          <w:p w14:paraId="3563B323"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62</w:t>
            </w:r>
          </w:p>
        </w:tc>
      </w:tr>
      <w:tr w:rsidR="0037240A" w:rsidRPr="001D4B68" w14:paraId="753A09B6" w14:textId="77777777" w:rsidTr="0037240A">
        <w:trPr>
          <w:trHeight w:val="300"/>
        </w:trPr>
        <w:tc>
          <w:tcPr>
            <w:tcW w:w="1142" w:type="dxa"/>
            <w:hideMark/>
          </w:tcPr>
          <w:p w14:paraId="32156EE2"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Centro</w:t>
            </w:r>
          </w:p>
        </w:tc>
        <w:tc>
          <w:tcPr>
            <w:tcW w:w="1189" w:type="dxa"/>
            <w:hideMark/>
          </w:tcPr>
          <w:p w14:paraId="7B4B991B"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649</w:t>
            </w:r>
          </w:p>
        </w:tc>
        <w:tc>
          <w:tcPr>
            <w:tcW w:w="1688" w:type="dxa"/>
            <w:hideMark/>
          </w:tcPr>
          <w:p w14:paraId="1E3DAC2D"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0</w:t>
            </w:r>
          </w:p>
        </w:tc>
        <w:tc>
          <w:tcPr>
            <w:tcW w:w="1157" w:type="dxa"/>
            <w:hideMark/>
          </w:tcPr>
          <w:p w14:paraId="3F030E7E"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8</w:t>
            </w:r>
          </w:p>
        </w:tc>
        <w:tc>
          <w:tcPr>
            <w:tcW w:w="1255" w:type="dxa"/>
            <w:hideMark/>
          </w:tcPr>
          <w:p w14:paraId="734FD0EF"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178</w:t>
            </w:r>
          </w:p>
        </w:tc>
        <w:tc>
          <w:tcPr>
            <w:tcW w:w="1192" w:type="dxa"/>
            <w:hideMark/>
          </w:tcPr>
          <w:p w14:paraId="580F66DF"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471</w:t>
            </w:r>
          </w:p>
        </w:tc>
        <w:tc>
          <w:tcPr>
            <w:tcW w:w="1227" w:type="dxa"/>
            <w:hideMark/>
          </w:tcPr>
          <w:p w14:paraId="61EA5133"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11</w:t>
            </w:r>
          </w:p>
        </w:tc>
      </w:tr>
      <w:tr w:rsidR="0037240A" w:rsidRPr="001D4B68" w14:paraId="335C20E9" w14:textId="77777777" w:rsidTr="0037240A">
        <w:trPr>
          <w:trHeight w:val="300"/>
        </w:trPr>
        <w:tc>
          <w:tcPr>
            <w:tcW w:w="1142" w:type="dxa"/>
            <w:hideMark/>
          </w:tcPr>
          <w:p w14:paraId="4E937271"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Sur</w:t>
            </w:r>
          </w:p>
        </w:tc>
        <w:tc>
          <w:tcPr>
            <w:tcW w:w="1189" w:type="dxa"/>
            <w:hideMark/>
          </w:tcPr>
          <w:p w14:paraId="099A457A"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1.926</w:t>
            </w:r>
          </w:p>
        </w:tc>
        <w:tc>
          <w:tcPr>
            <w:tcW w:w="1688" w:type="dxa"/>
            <w:hideMark/>
          </w:tcPr>
          <w:p w14:paraId="7E68066C"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0</w:t>
            </w:r>
          </w:p>
        </w:tc>
        <w:tc>
          <w:tcPr>
            <w:tcW w:w="1157" w:type="dxa"/>
            <w:hideMark/>
          </w:tcPr>
          <w:p w14:paraId="77CB6AC5"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17</w:t>
            </w:r>
          </w:p>
        </w:tc>
        <w:tc>
          <w:tcPr>
            <w:tcW w:w="1255" w:type="dxa"/>
            <w:hideMark/>
          </w:tcPr>
          <w:p w14:paraId="51CC0C6A"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418</w:t>
            </w:r>
          </w:p>
        </w:tc>
        <w:tc>
          <w:tcPr>
            <w:tcW w:w="1192" w:type="dxa"/>
            <w:hideMark/>
          </w:tcPr>
          <w:p w14:paraId="1C051A4C"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1.508</w:t>
            </w:r>
          </w:p>
        </w:tc>
        <w:tc>
          <w:tcPr>
            <w:tcW w:w="1227" w:type="dxa"/>
            <w:hideMark/>
          </w:tcPr>
          <w:p w14:paraId="0ACE9CA5" w14:textId="77777777" w:rsidR="0037240A" w:rsidRPr="001D4B68" w:rsidRDefault="0037240A" w:rsidP="0037240A">
            <w:pPr>
              <w:jc w:val="right"/>
              <w:rPr>
                <w:rFonts w:ascii="Calibri" w:eastAsia="Times New Roman" w:hAnsi="Calibri" w:cs="Times New Roman"/>
                <w:color w:val="000000"/>
                <w:lang w:eastAsia="es-CL"/>
              </w:rPr>
            </w:pPr>
            <w:r w:rsidRPr="001D4B68">
              <w:rPr>
                <w:rFonts w:ascii="Calibri" w:eastAsia="Times New Roman" w:hAnsi="Calibri" w:cs="Times New Roman"/>
                <w:color w:val="000000"/>
                <w:lang w:eastAsia="es-CL"/>
              </w:rPr>
              <w:t>35</w:t>
            </w:r>
          </w:p>
        </w:tc>
      </w:tr>
      <w:tr w:rsidR="0037240A" w:rsidRPr="001D4B68" w14:paraId="084C0F69" w14:textId="77777777" w:rsidTr="0037240A">
        <w:trPr>
          <w:trHeight w:val="300"/>
        </w:trPr>
        <w:tc>
          <w:tcPr>
            <w:tcW w:w="1142" w:type="dxa"/>
            <w:hideMark/>
          </w:tcPr>
          <w:p w14:paraId="7067629C" w14:textId="77777777" w:rsidR="0037240A" w:rsidRPr="001D4B68" w:rsidRDefault="0037240A" w:rsidP="0037240A">
            <w:pPr>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Total</w:t>
            </w:r>
          </w:p>
        </w:tc>
        <w:tc>
          <w:tcPr>
            <w:tcW w:w="1189" w:type="dxa"/>
            <w:hideMark/>
          </w:tcPr>
          <w:p w14:paraId="493EDDF4" w14:textId="77777777" w:rsidR="0037240A" w:rsidRPr="001D4B68" w:rsidRDefault="0037240A" w:rsidP="0037240A">
            <w:pPr>
              <w:jc w:val="right"/>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11.852</w:t>
            </w:r>
          </w:p>
        </w:tc>
        <w:tc>
          <w:tcPr>
            <w:tcW w:w="1688" w:type="dxa"/>
            <w:hideMark/>
          </w:tcPr>
          <w:p w14:paraId="0BD5A70C" w14:textId="77777777" w:rsidR="0037240A" w:rsidRPr="001D4B68" w:rsidRDefault="0037240A" w:rsidP="0037240A">
            <w:pPr>
              <w:jc w:val="right"/>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4.822</w:t>
            </w:r>
          </w:p>
        </w:tc>
        <w:tc>
          <w:tcPr>
            <w:tcW w:w="1157" w:type="dxa"/>
            <w:hideMark/>
          </w:tcPr>
          <w:p w14:paraId="1E761CD3" w14:textId="77777777" w:rsidR="0037240A" w:rsidRPr="001D4B68" w:rsidRDefault="0037240A" w:rsidP="0037240A">
            <w:pPr>
              <w:jc w:val="right"/>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67</w:t>
            </w:r>
          </w:p>
        </w:tc>
        <w:tc>
          <w:tcPr>
            <w:tcW w:w="1255" w:type="dxa"/>
            <w:hideMark/>
          </w:tcPr>
          <w:p w14:paraId="343C9D99" w14:textId="77777777" w:rsidR="0037240A" w:rsidRPr="001D4B68" w:rsidRDefault="0037240A" w:rsidP="0037240A">
            <w:pPr>
              <w:jc w:val="right"/>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2.013</w:t>
            </w:r>
          </w:p>
        </w:tc>
        <w:tc>
          <w:tcPr>
            <w:tcW w:w="1192" w:type="dxa"/>
            <w:hideMark/>
          </w:tcPr>
          <w:p w14:paraId="1476D359" w14:textId="77777777" w:rsidR="0037240A" w:rsidRPr="001D4B68" w:rsidRDefault="0037240A" w:rsidP="0037240A">
            <w:pPr>
              <w:jc w:val="right"/>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9.835</w:t>
            </w:r>
          </w:p>
        </w:tc>
        <w:tc>
          <w:tcPr>
            <w:tcW w:w="1227" w:type="dxa"/>
            <w:hideMark/>
          </w:tcPr>
          <w:p w14:paraId="2D96ABDD" w14:textId="77777777" w:rsidR="0037240A" w:rsidRPr="001D4B68" w:rsidRDefault="0037240A" w:rsidP="0037240A">
            <w:pPr>
              <w:jc w:val="right"/>
              <w:rPr>
                <w:rFonts w:ascii="Calibri" w:eastAsia="Times New Roman" w:hAnsi="Calibri" w:cs="Times New Roman"/>
                <w:b/>
                <w:color w:val="000000"/>
                <w:lang w:eastAsia="es-CL"/>
              </w:rPr>
            </w:pPr>
            <w:r w:rsidRPr="001D4B68">
              <w:rPr>
                <w:rFonts w:ascii="Calibri" w:eastAsia="Times New Roman" w:hAnsi="Calibri" w:cs="Times New Roman"/>
                <w:b/>
                <w:color w:val="000000"/>
                <w:lang w:eastAsia="es-CL"/>
              </w:rPr>
              <w:t>229</w:t>
            </w:r>
          </w:p>
        </w:tc>
      </w:tr>
    </w:tbl>
    <w:p w14:paraId="114A88B9" w14:textId="48DFCD71" w:rsidR="00510002" w:rsidRDefault="00510002" w:rsidP="00510002">
      <w:pPr>
        <w:tabs>
          <w:tab w:val="left" w:pos="2145"/>
        </w:tabs>
        <w:rPr>
          <w:sz w:val="20"/>
        </w:rPr>
      </w:pPr>
      <w:r>
        <w:tab/>
        <w:t>F</w:t>
      </w:r>
      <w:r w:rsidRPr="0016129D">
        <w:rPr>
          <w:sz w:val="20"/>
        </w:rPr>
        <w:t>uente: Elaboración Propia en base a proyección Censo 2017, MINEDUC, JUNJI, INTEGRA</w:t>
      </w:r>
    </w:p>
    <w:p w14:paraId="74F238EC" w14:textId="77777777" w:rsidR="009F5ADF" w:rsidRDefault="009F5ADF" w:rsidP="00510002">
      <w:pPr>
        <w:tabs>
          <w:tab w:val="left" w:pos="2145"/>
        </w:tabs>
        <w:rPr>
          <w:sz w:val="20"/>
        </w:rPr>
      </w:pPr>
    </w:p>
    <w:p w14:paraId="0B7E9DBD" w14:textId="71BA6187" w:rsidR="009F5ADF" w:rsidRDefault="009F5ADF" w:rsidP="008B3D88">
      <w:pPr>
        <w:tabs>
          <w:tab w:val="left" w:pos="2145"/>
        </w:tabs>
        <w:ind w:left="709" w:hanging="142"/>
        <w:jc w:val="both"/>
        <w:rPr>
          <w:sz w:val="20"/>
        </w:rPr>
      </w:pPr>
      <w:r>
        <w:rPr>
          <w:sz w:val="20"/>
        </w:rPr>
        <w:tab/>
      </w:r>
      <w:r>
        <w:t>Una vez conocidas las cifras e identificados los se</w:t>
      </w:r>
      <w:r w:rsidR="008B76EB">
        <w:t xml:space="preserve">ctores prioritarios, es necesidad que se tomen medidas por parte de las políticas públicas en este ámbito, las carencias no sólo apuntan a un déficit en infraestructura, sino que están diciendo que no se está prestando la atención necesaria en la educación de esta minoría que no es opinante, ni menos votante, pero que sí tiene un peso que no se le está considerando </w:t>
      </w:r>
      <w:bookmarkStart w:id="0" w:name="_GoBack"/>
      <w:bookmarkEnd w:id="0"/>
      <w:r w:rsidR="008B76EB">
        <w:t xml:space="preserve">dentro de la región. </w:t>
      </w:r>
    </w:p>
    <w:p w14:paraId="47A4C137" w14:textId="3A823A05" w:rsidR="00D10DBD" w:rsidRDefault="00D10DBD" w:rsidP="00D10DBD"/>
    <w:sectPr w:rsidR="00D10DBD" w:rsidSect="00D10DBD">
      <w:pgSz w:w="12240" w:h="15840"/>
      <w:pgMar w:top="1417" w:right="1701"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202"/>
    <w:rsid w:val="00022528"/>
    <w:rsid w:val="000F097E"/>
    <w:rsid w:val="000F6D82"/>
    <w:rsid w:val="0016129D"/>
    <w:rsid w:val="001A6AA8"/>
    <w:rsid w:val="001D4B68"/>
    <w:rsid w:val="001D75F1"/>
    <w:rsid w:val="00212AA9"/>
    <w:rsid w:val="002467EC"/>
    <w:rsid w:val="0028559D"/>
    <w:rsid w:val="002B5D0A"/>
    <w:rsid w:val="002C0B30"/>
    <w:rsid w:val="00322B90"/>
    <w:rsid w:val="0037240A"/>
    <w:rsid w:val="003802F6"/>
    <w:rsid w:val="003C28C1"/>
    <w:rsid w:val="003D711A"/>
    <w:rsid w:val="004105A1"/>
    <w:rsid w:val="004527E5"/>
    <w:rsid w:val="004D19A5"/>
    <w:rsid w:val="00500C04"/>
    <w:rsid w:val="00510002"/>
    <w:rsid w:val="005952B4"/>
    <w:rsid w:val="005D265E"/>
    <w:rsid w:val="005D60C9"/>
    <w:rsid w:val="0060217F"/>
    <w:rsid w:val="006327B6"/>
    <w:rsid w:val="00677B25"/>
    <w:rsid w:val="00696C29"/>
    <w:rsid w:val="006A7B79"/>
    <w:rsid w:val="006A7F1E"/>
    <w:rsid w:val="006C1A98"/>
    <w:rsid w:val="006D72A2"/>
    <w:rsid w:val="00724B4E"/>
    <w:rsid w:val="007B5B45"/>
    <w:rsid w:val="007C7285"/>
    <w:rsid w:val="00830876"/>
    <w:rsid w:val="00836CBD"/>
    <w:rsid w:val="008B3D88"/>
    <w:rsid w:val="008B76EB"/>
    <w:rsid w:val="00921A98"/>
    <w:rsid w:val="00961108"/>
    <w:rsid w:val="009C5CAE"/>
    <w:rsid w:val="009F5ADF"/>
    <w:rsid w:val="00A21E7C"/>
    <w:rsid w:val="00A43DB8"/>
    <w:rsid w:val="00B77F37"/>
    <w:rsid w:val="00B94FB5"/>
    <w:rsid w:val="00BC1AE4"/>
    <w:rsid w:val="00BD4C04"/>
    <w:rsid w:val="00BF5202"/>
    <w:rsid w:val="00C576F0"/>
    <w:rsid w:val="00D06B05"/>
    <w:rsid w:val="00D10DBD"/>
    <w:rsid w:val="00D556F1"/>
    <w:rsid w:val="00D62476"/>
    <w:rsid w:val="00D846BC"/>
    <w:rsid w:val="00DA7C9D"/>
    <w:rsid w:val="00DD2E5B"/>
    <w:rsid w:val="00DD3719"/>
    <w:rsid w:val="00DE6350"/>
    <w:rsid w:val="00EA5576"/>
    <w:rsid w:val="00EC76BD"/>
    <w:rsid w:val="00F41576"/>
    <w:rsid w:val="00F83C24"/>
    <w:rsid w:val="00FB1599"/>
    <w:rsid w:val="00FD4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B7C4AB"/>
  <w15:docId w15:val="{0379CC0E-E06E-4523-B7E0-BEC2B4EE2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EC76BD"/>
    <w:rPr>
      <w:sz w:val="18"/>
      <w:szCs w:val="18"/>
    </w:rPr>
  </w:style>
  <w:style w:type="paragraph" w:styleId="Textocomentario">
    <w:name w:val="annotation text"/>
    <w:basedOn w:val="Normal"/>
    <w:link w:val="TextocomentarioCar"/>
    <w:uiPriority w:val="99"/>
    <w:semiHidden/>
    <w:unhideWhenUsed/>
    <w:rsid w:val="00EC76BD"/>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EC76BD"/>
    <w:rPr>
      <w:sz w:val="24"/>
      <w:szCs w:val="24"/>
      <w:lang w:val="es-CL"/>
    </w:rPr>
  </w:style>
  <w:style w:type="paragraph" w:styleId="Asuntodelcomentario">
    <w:name w:val="annotation subject"/>
    <w:basedOn w:val="Textocomentario"/>
    <w:next w:val="Textocomentario"/>
    <w:link w:val="AsuntodelcomentarioCar"/>
    <w:uiPriority w:val="99"/>
    <w:semiHidden/>
    <w:unhideWhenUsed/>
    <w:rsid w:val="00EC76BD"/>
    <w:rPr>
      <w:b/>
      <w:bCs/>
      <w:sz w:val="20"/>
      <w:szCs w:val="20"/>
    </w:rPr>
  </w:style>
  <w:style w:type="character" w:customStyle="1" w:styleId="AsuntodelcomentarioCar">
    <w:name w:val="Asunto del comentario Car"/>
    <w:basedOn w:val="TextocomentarioCar"/>
    <w:link w:val="Asuntodelcomentario"/>
    <w:uiPriority w:val="99"/>
    <w:semiHidden/>
    <w:rsid w:val="00EC76BD"/>
    <w:rPr>
      <w:b/>
      <w:bCs/>
      <w:sz w:val="20"/>
      <w:szCs w:val="20"/>
      <w:lang w:val="es-CL"/>
    </w:rPr>
  </w:style>
  <w:style w:type="paragraph" w:styleId="Revisin">
    <w:name w:val="Revision"/>
    <w:hidden/>
    <w:uiPriority w:val="99"/>
    <w:semiHidden/>
    <w:rsid w:val="00EC76BD"/>
    <w:pPr>
      <w:spacing w:after="0" w:line="240" w:lineRule="auto"/>
    </w:pPr>
    <w:rPr>
      <w:lang w:val="es-CL"/>
    </w:rPr>
  </w:style>
  <w:style w:type="paragraph" w:styleId="Textodeglobo">
    <w:name w:val="Balloon Text"/>
    <w:basedOn w:val="Normal"/>
    <w:link w:val="TextodegloboCar"/>
    <w:uiPriority w:val="99"/>
    <w:semiHidden/>
    <w:unhideWhenUsed/>
    <w:rsid w:val="00EC76BD"/>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C76BD"/>
    <w:rPr>
      <w:rFonts w:ascii="Lucida Grande" w:hAnsi="Lucida Grande"/>
      <w:sz w:val="18"/>
      <w:szCs w:val="18"/>
      <w:lang w:val="es-CL"/>
    </w:rPr>
  </w:style>
  <w:style w:type="table" w:styleId="Tablaconcuadrcula">
    <w:name w:val="Table Grid"/>
    <w:basedOn w:val="Tablanormal"/>
    <w:uiPriority w:val="39"/>
    <w:rsid w:val="001D4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99"/>
    <w:rsid w:val="001D4B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296093">
      <w:bodyDiv w:val="1"/>
      <w:marLeft w:val="0"/>
      <w:marRight w:val="0"/>
      <w:marTop w:val="0"/>
      <w:marBottom w:val="0"/>
      <w:divBdr>
        <w:top w:val="none" w:sz="0" w:space="0" w:color="auto"/>
        <w:left w:val="none" w:sz="0" w:space="0" w:color="auto"/>
        <w:bottom w:val="none" w:sz="0" w:space="0" w:color="auto"/>
        <w:right w:val="none" w:sz="0" w:space="0" w:color="auto"/>
      </w:divBdr>
    </w:div>
    <w:div w:id="1227914957">
      <w:bodyDiv w:val="1"/>
      <w:marLeft w:val="0"/>
      <w:marRight w:val="0"/>
      <w:marTop w:val="0"/>
      <w:marBottom w:val="0"/>
      <w:divBdr>
        <w:top w:val="none" w:sz="0" w:space="0" w:color="auto"/>
        <w:left w:val="none" w:sz="0" w:space="0" w:color="auto"/>
        <w:bottom w:val="none" w:sz="0" w:space="0" w:color="auto"/>
        <w:right w:val="none" w:sz="0" w:space="0" w:color="auto"/>
      </w:divBdr>
    </w:div>
    <w:div w:id="1245988587">
      <w:bodyDiv w:val="1"/>
      <w:marLeft w:val="0"/>
      <w:marRight w:val="0"/>
      <w:marTop w:val="0"/>
      <w:marBottom w:val="0"/>
      <w:divBdr>
        <w:top w:val="none" w:sz="0" w:space="0" w:color="auto"/>
        <w:left w:val="none" w:sz="0" w:space="0" w:color="auto"/>
        <w:bottom w:val="none" w:sz="0" w:space="0" w:color="auto"/>
        <w:right w:val="none" w:sz="0" w:space="0" w:color="auto"/>
      </w:divBdr>
    </w:div>
    <w:div w:id="1491410945">
      <w:bodyDiv w:val="1"/>
      <w:marLeft w:val="0"/>
      <w:marRight w:val="0"/>
      <w:marTop w:val="0"/>
      <w:marBottom w:val="0"/>
      <w:divBdr>
        <w:top w:val="none" w:sz="0" w:space="0" w:color="auto"/>
        <w:left w:val="none" w:sz="0" w:space="0" w:color="auto"/>
        <w:bottom w:val="none" w:sz="0" w:space="0" w:color="auto"/>
        <w:right w:val="none" w:sz="0" w:space="0" w:color="auto"/>
      </w:divBdr>
    </w:div>
    <w:div w:id="1504324282">
      <w:bodyDiv w:val="1"/>
      <w:marLeft w:val="0"/>
      <w:marRight w:val="0"/>
      <w:marTop w:val="0"/>
      <w:marBottom w:val="0"/>
      <w:divBdr>
        <w:top w:val="none" w:sz="0" w:space="0" w:color="auto"/>
        <w:left w:val="none" w:sz="0" w:space="0" w:color="auto"/>
        <w:bottom w:val="none" w:sz="0" w:space="0" w:color="auto"/>
        <w:right w:val="none" w:sz="0" w:space="0" w:color="auto"/>
      </w:divBdr>
    </w:div>
    <w:div w:id="1635981381">
      <w:bodyDiv w:val="1"/>
      <w:marLeft w:val="0"/>
      <w:marRight w:val="0"/>
      <w:marTop w:val="0"/>
      <w:marBottom w:val="0"/>
      <w:divBdr>
        <w:top w:val="none" w:sz="0" w:space="0" w:color="auto"/>
        <w:left w:val="none" w:sz="0" w:space="0" w:color="auto"/>
        <w:bottom w:val="none" w:sz="0" w:space="0" w:color="auto"/>
        <w:right w:val="none" w:sz="0" w:space="0" w:color="auto"/>
      </w:divBdr>
    </w:div>
    <w:div w:id="1686396855">
      <w:bodyDiv w:val="1"/>
      <w:marLeft w:val="0"/>
      <w:marRight w:val="0"/>
      <w:marTop w:val="0"/>
      <w:marBottom w:val="0"/>
      <w:divBdr>
        <w:top w:val="none" w:sz="0" w:space="0" w:color="auto"/>
        <w:left w:val="none" w:sz="0" w:space="0" w:color="auto"/>
        <w:bottom w:val="none" w:sz="0" w:space="0" w:color="auto"/>
        <w:right w:val="none" w:sz="0" w:space="0" w:color="auto"/>
      </w:divBdr>
    </w:div>
    <w:div w:id="173889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3</Pages>
  <Words>708</Words>
  <Characters>3898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Valderde</dc:creator>
  <cp:keywords/>
  <dc:description/>
  <cp:lastModifiedBy>IPP UCN</cp:lastModifiedBy>
  <cp:revision>6</cp:revision>
  <cp:lastPrinted>2019-07-30T20:13:00Z</cp:lastPrinted>
  <dcterms:created xsi:type="dcterms:W3CDTF">2019-07-12T21:55:00Z</dcterms:created>
  <dcterms:modified xsi:type="dcterms:W3CDTF">2019-07-30T22:44:00Z</dcterms:modified>
</cp:coreProperties>
</file>